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80" w:rsidRDefault="00A47D80" w:rsidP="00A47D8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A47D80" w:rsidRDefault="00A47D80" w:rsidP="00A47D80">
      <w:pPr>
        <w:autoSpaceDE w:val="0"/>
        <w:autoSpaceDN w:val="0"/>
        <w:adjustRightInd w:val="0"/>
        <w:spacing w:after="0" w:line="240" w:lineRule="auto"/>
        <w:jc w:val="both"/>
        <w:outlineLvl w:val="0"/>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декабря 2012 г. N 1317</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МЕРАХ</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РЕАЛИЗАЦИИ УКАЗА ПРЕЗИДЕНТА РОССИЙСКОЙ ФЕДЕРАЦИИ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ОТ 28 АПРЕЛЯ 2008 Г. </w:t>
      </w:r>
      <w:hyperlink r:id="rId6" w:history="1">
        <w:r>
          <w:rPr>
            <w:rFonts w:ascii="Arial" w:eastAsiaTheme="minorHAnsi" w:hAnsi="Arial" w:cs="Arial"/>
            <w:color w:val="0000FF"/>
            <w:sz w:val="20"/>
            <w:szCs w:val="20"/>
          </w:rPr>
          <w:t>N 607</w:t>
        </w:r>
      </w:hyperlink>
      <w:r>
        <w:rPr>
          <w:rFonts w:ascii="Arial" w:eastAsiaTheme="minorHAnsi" w:hAnsi="Arial" w:cs="Arial"/>
          <w:color w:val="auto"/>
          <w:sz w:val="20"/>
          <w:szCs w:val="20"/>
        </w:rPr>
        <w:t xml:space="preserve"> "ОБ ОЦЕНКЕ ЭФФЕКТИВНОСТИ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ОРГАНОВ МЕСТНОГО САМОУПРАВЛЕНИЯ ГОРОДСКИХ</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ОКРУГОВ И МУНИЦИПАЛЬНЫХ РАЙОНОВ" И ПОДПУНКТА "И" ПУНКТА 2</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УКАЗА ПРЕЗИДЕНТА РОССИЙСКОЙ ФЕДЕРАЦИИ ОТ 7 МАЯ 2012 Г.</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7" w:history="1">
        <w:r>
          <w:rPr>
            <w:rFonts w:ascii="Arial" w:eastAsiaTheme="minorHAnsi" w:hAnsi="Arial" w:cs="Arial"/>
            <w:color w:val="0000FF"/>
            <w:sz w:val="20"/>
            <w:szCs w:val="20"/>
          </w:rPr>
          <w:t>N 601</w:t>
        </w:r>
      </w:hyperlink>
      <w:r>
        <w:rPr>
          <w:rFonts w:ascii="Arial" w:eastAsiaTheme="minorHAnsi" w:hAnsi="Arial" w:cs="Arial"/>
          <w:color w:val="auto"/>
          <w:sz w:val="20"/>
          <w:szCs w:val="20"/>
        </w:rPr>
        <w:t xml:space="preserve"> "ОБ ОСНОВНЫХ НАПРАВЛЕНИЯХ СОВЕРШЕНСТВОВАНИЯ</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СИСТЕМЫ ГОСУДАРСТВЕННОГО УПРАВЛЕНИЯ"</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26.12.2014 </w:t>
            </w:r>
            <w:hyperlink r:id="rId8" w:history="1">
              <w:r>
                <w:rPr>
                  <w:rFonts w:ascii="Arial" w:hAnsi="Arial" w:cs="Arial"/>
                  <w:color w:val="0000FF"/>
                  <w:sz w:val="20"/>
                  <w:szCs w:val="20"/>
                </w:rPr>
                <w:t>N 1505</w:t>
              </w:r>
            </w:hyperlink>
            <w:r>
              <w:rPr>
                <w:rFonts w:ascii="Arial" w:hAnsi="Arial" w:cs="Arial"/>
                <w:color w:val="392C69"/>
                <w:sz w:val="20"/>
                <w:szCs w:val="20"/>
              </w:rPr>
              <w:t>,</w:t>
            </w:r>
            <w:proofErr w:type="gramEnd"/>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12.10.2015 </w:t>
            </w:r>
            <w:hyperlink r:id="rId9" w:history="1">
              <w:r>
                <w:rPr>
                  <w:rFonts w:ascii="Arial" w:hAnsi="Arial" w:cs="Arial"/>
                  <w:color w:val="0000FF"/>
                  <w:sz w:val="20"/>
                  <w:szCs w:val="20"/>
                </w:rPr>
                <w:t>N 1096</w:t>
              </w:r>
            </w:hyperlink>
            <w:r>
              <w:rPr>
                <w:rFonts w:ascii="Arial" w:hAnsi="Arial" w:cs="Arial"/>
                <w:color w:val="392C69"/>
                <w:sz w:val="20"/>
                <w:szCs w:val="20"/>
              </w:rPr>
              <w:t xml:space="preserve">, от 09.07.2016 </w:t>
            </w:r>
            <w:hyperlink r:id="rId10" w:history="1">
              <w:r>
                <w:rPr>
                  <w:rFonts w:ascii="Arial" w:hAnsi="Arial" w:cs="Arial"/>
                  <w:color w:val="0000FF"/>
                  <w:sz w:val="20"/>
                  <w:szCs w:val="20"/>
                </w:rPr>
                <w:t>N 654</w:t>
              </w:r>
            </w:hyperlink>
            <w:r>
              <w:rPr>
                <w:rFonts w:ascii="Arial" w:hAnsi="Arial" w:cs="Arial"/>
                <w:color w:val="392C69"/>
                <w:sz w:val="20"/>
                <w:szCs w:val="20"/>
              </w:rPr>
              <w:t xml:space="preserve">, от 06.02.2017 </w:t>
            </w:r>
            <w:hyperlink r:id="rId11" w:history="1">
              <w:r>
                <w:rPr>
                  <w:rFonts w:ascii="Arial" w:hAnsi="Arial" w:cs="Arial"/>
                  <w:color w:val="0000FF"/>
                  <w:sz w:val="20"/>
                  <w:szCs w:val="20"/>
                </w:rPr>
                <w:t>N 142</w:t>
              </w:r>
            </w:hyperlink>
            <w:r>
              <w:rPr>
                <w:rFonts w:ascii="Arial" w:hAnsi="Arial" w:cs="Arial"/>
                <w:color w:val="392C69"/>
                <w:sz w:val="20"/>
                <w:szCs w:val="20"/>
              </w:rPr>
              <w:t>)</w:t>
            </w:r>
          </w:p>
        </w:tc>
      </w:tr>
    </w:tbl>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w:anchor="Par51" w:history="1">
        <w:r>
          <w:rPr>
            <w:rFonts w:ascii="Arial" w:hAnsi="Arial" w:cs="Arial"/>
            <w:color w:val="0000FF"/>
            <w:sz w:val="20"/>
            <w:szCs w:val="20"/>
          </w:rPr>
          <w:t>перечень</w:t>
        </w:r>
      </w:hyperlink>
      <w:r>
        <w:rPr>
          <w:rFonts w:ascii="Arial" w:hAnsi="Arial" w:cs="Arial"/>
          <w:sz w:val="20"/>
          <w:szCs w:val="20"/>
        </w:rPr>
        <w:t xml:space="preserve"> дополнительных показателей для оценки </w:t>
      </w:r>
      <w:proofErr w:type="gramStart"/>
      <w:r>
        <w:rPr>
          <w:rFonts w:ascii="Arial" w:hAnsi="Arial" w:cs="Arial"/>
          <w:sz w:val="20"/>
          <w:szCs w:val="20"/>
        </w:rPr>
        <w:t>эффективности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w:anchor="Par130" w:history="1">
        <w:r>
          <w:rPr>
            <w:rFonts w:ascii="Arial" w:hAnsi="Arial" w:cs="Arial"/>
            <w:color w:val="0000FF"/>
            <w:sz w:val="20"/>
            <w:szCs w:val="20"/>
          </w:rPr>
          <w:t>методику</w:t>
        </w:r>
      </w:hyperlink>
      <w:r>
        <w:rPr>
          <w:rFonts w:ascii="Arial" w:hAnsi="Arial" w:cs="Arial"/>
          <w:sz w:val="20"/>
          <w:szCs w:val="20"/>
        </w:rPr>
        <w:t xml:space="preserve"> </w:t>
      </w:r>
      <w:proofErr w:type="gramStart"/>
      <w:r>
        <w:rPr>
          <w:rFonts w:ascii="Arial" w:hAnsi="Arial" w:cs="Arial"/>
          <w:sz w:val="20"/>
          <w:szCs w:val="20"/>
        </w:rPr>
        <w:t>мониторинга эффективности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типовую </w:t>
      </w:r>
      <w:hyperlink w:anchor="Par190" w:history="1">
        <w:r>
          <w:rPr>
            <w:rFonts w:ascii="Arial" w:hAnsi="Arial" w:cs="Arial"/>
            <w:color w:val="0000FF"/>
            <w:sz w:val="20"/>
            <w:szCs w:val="20"/>
          </w:rPr>
          <w:t>форму</w:t>
        </w:r>
      </w:hyperlink>
      <w:r>
        <w:rPr>
          <w:rFonts w:ascii="Arial" w:hAnsi="Arial" w:cs="Arial"/>
          <w:sz w:val="20"/>
          <w:szCs w:val="20"/>
        </w:rP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rPr>
          <w:rFonts w:ascii="Arial" w:hAnsi="Arial" w:cs="Arial"/>
          <w:sz w:val="20"/>
          <w:szCs w:val="20"/>
        </w:rPr>
        <w:t>эффективности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 за отчетный год и их планируемых значениях на 3-летний период;</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w:anchor="Par447" w:history="1">
        <w:r>
          <w:rPr>
            <w:rFonts w:ascii="Arial" w:hAnsi="Arial" w:cs="Arial"/>
            <w:color w:val="0000FF"/>
            <w:sz w:val="20"/>
            <w:szCs w:val="20"/>
          </w:rPr>
          <w:t>методические рекомендации</w:t>
        </w:r>
      </w:hyperlink>
      <w:r>
        <w:rPr>
          <w:rFonts w:ascii="Arial" w:hAnsi="Arial" w:cs="Arial"/>
          <w:sz w:val="20"/>
          <w:szCs w:val="2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Pr>
          <w:rFonts w:ascii="Arial" w:hAnsi="Arial" w:cs="Arial"/>
          <w:sz w:val="20"/>
          <w:szCs w:val="20"/>
        </w:rPr>
        <w:t>достижения наилучших значений показателей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w:anchor="Par553" w:history="1">
        <w:r>
          <w:rPr>
            <w:rFonts w:ascii="Arial" w:hAnsi="Arial" w:cs="Arial"/>
            <w:color w:val="0000FF"/>
            <w:sz w:val="20"/>
            <w:szCs w:val="20"/>
          </w:rPr>
          <w:t>перечень</w:t>
        </w:r>
      </w:hyperlink>
      <w:r>
        <w:rPr>
          <w:rFonts w:ascii="Arial" w:hAnsi="Arial" w:cs="Arial"/>
          <w:sz w:val="20"/>
          <w:szCs w:val="20"/>
        </w:rPr>
        <w:t xml:space="preserve"> рекомендуемых показателей, используемых для определения размера грантов;</w:t>
      </w:r>
    </w:p>
    <w:bookmarkStart w:id="0" w:name="Par25"/>
    <w:bookmarkEnd w:id="0"/>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Par580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Правила</w:t>
      </w:r>
      <w:r>
        <w:rPr>
          <w:rFonts w:ascii="Arial" w:hAnsi="Arial" w:cs="Arial"/>
          <w:sz w:val="20"/>
          <w:szCs w:val="20"/>
        </w:rPr>
        <w:fldChar w:fldCharType="end"/>
      </w:r>
      <w:r>
        <w:rPr>
          <w:rFonts w:ascii="Arial" w:hAnsi="Arial" w:cs="Arial"/>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w:anchor="Par647" w:history="1">
        <w:proofErr w:type="gramStart"/>
        <w:r>
          <w:rPr>
            <w:rFonts w:ascii="Arial" w:hAnsi="Arial" w:cs="Arial"/>
            <w:color w:val="0000FF"/>
            <w:sz w:val="20"/>
            <w:szCs w:val="20"/>
          </w:rPr>
          <w:t>критерии</w:t>
        </w:r>
      </w:hyperlink>
      <w:r>
        <w:rPr>
          <w:rFonts w:ascii="Arial" w:hAnsi="Arial" w:cs="Arial"/>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w:t>
      </w:r>
      <w:r>
        <w:rPr>
          <w:rFonts w:ascii="Arial" w:hAnsi="Arial" w:cs="Arial"/>
          <w:sz w:val="20"/>
          <w:szCs w:val="20"/>
        </w:rPr>
        <w:lastRenderedPageBreak/>
        <w:t>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w:t>
      </w: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11 сентября 2008 г. N 1313-р (Собрание законодательства Российской Федерации, 2008, N 39, ст. 4455);</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15 мая 2010 г. N 758-р (Собрание законодательства Российской Федерации, 2010, N 22, ст. 2783);</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26 июля 2010 г. N 1246-р (Собрание законодательства Российской Федерации, 2010, N 31, ст. 4280);</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18 декабря 2010 г. N 2330-р (Собрание законодательства Российской Федерации, 2010, N 52, ст. 7196);</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14 июня 2011 г. N 1033-р (Собрание законодательства Российской Федерации, 2011, N 26, ст. 3835);</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13 июля 2011 г. N 1225-р (Собрание законодательства Российской Федерации, 2011, N 29, ст. 4550).</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Настоящее постановление вступает в силу с 1 января 2013 г., за исключением </w:t>
      </w:r>
      <w:hyperlink w:anchor="Par25" w:history="1">
        <w:r>
          <w:rPr>
            <w:rFonts w:ascii="Arial" w:hAnsi="Arial" w:cs="Arial"/>
            <w:color w:val="0000FF"/>
            <w:sz w:val="20"/>
            <w:szCs w:val="20"/>
          </w:rPr>
          <w:t>абзаца седьмого пункта 1</w:t>
        </w:r>
      </w:hyperlink>
      <w:r>
        <w:rPr>
          <w:rFonts w:ascii="Arial" w:hAnsi="Arial" w:cs="Arial"/>
          <w:sz w:val="20"/>
          <w:szCs w:val="20"/>
        </w:rPr>
        <w:t>, который вступает в силу с 1 января 2014 г.</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51"/>
      <w:bookmarkEnd w:id="1"/>
      <w:r>
        <w:rPr>
          <w:rFonts w:ascii="Arial" w:eastAsiaTheme="minorHAnsi" w:hAnsi="Arial" w:cs="Arial"/>
          <w:color w:val="auto"/>
          <w:sz w:val="20"/>
          <w:szCs w:val="20"/>
        </w:rPr>
        <w:t>ПЕРЕЧЕНЬ</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ДОПОЛНИТЕЛЬНЫХ ПОКАЗАТЕЛЕЙ ДЛЯ ОЦЕНКИ ЭФФЕКТИВНОСТИ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ОРГАНОВ МЕСТНОГО САМОУПРАВЛЕНИЯ ГОРОДСКИХ</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ОКРУГОВ И МУНИЦИПАЛЬНЫХ РАЙОНОВ</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12.10.2015 N 1096)</w:t>
            </w:r>
          </w:p>
        </w:tc>
      </w:tr>
    </w:tbl>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Экономическое развитие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Среднемесячная номинальная начисленная заработная плата работников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крупных и средних предприятий и некоммерческих организаций;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муниципальных дошкольных образовательных учреждений;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муниципальных общеобразовательных учреждений, в том числе учителей;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муниципальных учреждений культуры и искусства;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муниципальных учреждений физической культуры и спорта.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Объем инвестиций в основной капитал (за исключением бюджетных средств) в расчете на 1 жителя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Доля прибыльных сельскохозяйственных </w:t>
      </w:r>
      <w:proofErr w:type="gramStart"/>
      <w:r>
        <w:rPr>
          <w:rFonts w:ascii="Arial" w:hAnsi="Arial" w:cs="Arial"/>
          <w:sz w:val="20"/>
          <w:szCs w:val="20"/>
        </w:rPr>
        <w:t>организаций</w:t>
      </w:r>
      <w:proofErr w:type="gramEnd"/>
      <w:r>
        <w:rPr>
          <w:rFonts w:ascii="Arial" w:hAnsi="Arial" w:cs="Arial"/>
          <w:sz w:val="20"/>
          <w:szCs w:val="20"/>
        </w:rPr>
        <w:t xml:space="preserve"> в общем их числе (процентов).</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Дошкольное образование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Общее и дополнительное образование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Доля детей первой и второй групп здоровья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муниципальных общеобразовательных учреждениях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Доля обучающихся в муниципальных общеобразовательных учреждениях, занимающихся во вторую (третью) смену,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муниципальных общеобразовательных учреждениях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Культура</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Уровень фактической обеспеченности учреждениями культуры от нормативной потребности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клубами и учреждениями клубного типа;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библиотеками;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парками культуры и отдыха.</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Физическая культура и спорт</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Доля населения, систематически занимающегося физической культурой и спортом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Доля обучающихся, систематически занимающихся физической культурой и спортом, в общей численности обучающихся (процентов).</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w:t>
      </w:r>
      <w:proofErr w:type="gramStart"/>
      <w:r>
        <w:rPr>
          <w:rFonts w:ascii="Arial" w:hAnsi="Arial" w:cs="Arial"/>
          <w:sz w:val="20"/>
          <w:szCs w:val="20"/>
        </w:rPr>
        <w:t>введен</w:t>
      </w:r>
      <w:proofErr w:type="gramEnd"/>
      <w:r>
        <w:rPr>
          <w:rFonts w:ascii="Arial" w:hAnsi="Arial" w:cs="Arial"/>
          <w:sz w:val="20"/>
          <w:szCs w:val="20"/>
        </w:rPr>
        <w:t xml:space="preserve">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12.10.2015 N 1096)</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Жилищное строительство и обеспечение граждан жильем</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Площадь земельных участков, предоставленных для строительства, в отношении которых </w:t>
      </w:r>
      <w:proofErr w:type="gramStart"/>
      <w:r>
        <w:rPr>
          <w:rFonts w:ascii="Arial" w:hAnsi="Arial" w:cs="Arial"/>
          <w:sz w:val="20"/>
          <w:szCs w:val="20"/>
        </w:rPr>
        <w:t>с даты принятия</w:t>
      </w:r>
      <w:proofErr w:type="gramEnd"/>
      <w:r>
        <w:rPr>
          <w:rFonts w:ascii="Arial" w:hAnsi="Arial" w:cs="Arial"/>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объектов жилищного строительства - в течение 3 лет;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объектов капитального строительства - в течение 5 лет.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Жилищно-коммунальное хозяйство</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Организация муниципального управления</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Среднегодовая численность постоянного населения (тыс. человек).</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30"/>
      <w:bookmarkEnd w:id="2"/>
      <w:r>
        <w:rPr>
          <w:rFonts w:ascii="Arial" w:eastAsiaTheme="minorHAnsi" w:hAnsi="Arial" w:cs="Arial"/>
          <w:color w:val="auto"/>
          <w:sz w:val="20"/>
          <w:szCs w:val="20"/>
        </w:rPr>
        <w:t>МЕТОДИКА</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МОНИТОРИНГА ЭФФЕКТИВНОСТИ ДЕЯТЕЛЬНОСТИ ОРГАНОВ МЕСТНОГО</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ГОРОДСКИХ ОКРУГОВ И МУНИЦИПАЛЬНЫХ РАЙОНОВ</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12.10.2015 </w:t>
            </w:r>
            <w:hyperlink r:id="rId21" w:history="1">
              <w:r>
                <w:rPr>
                  <w:rFonts w:ascii="Arial" w:hAnsi="Arial" w:cs="Arial"/>
                  <w:color w:val="0000FF"/>
                  <w:sz w:val="20"/>
                  <w:szCs w:val="20"/>
                </w:rPr>
                <w:t>N 1096</w:t>
              </w:r>
            </w:hyperlink>
            <w:r>
              <w:rPr>
                <w:rFonts w:ascii="Arial" w:hAnsi="Arial" w:cs="Arial"/>
                <w:color w:val="392C69"/>
                <w:sz w:val="20"/>
                <w:szCs w:val="20"/>
              </w:rPr>
              <w:t>,</w:t>
            </w:r>
            <w:proofErr w:type="gramEnd"/>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06.02.2017 </w:t>
            </w:r>
            <w:hyperlink r:id="rId22" w:history="1">
              <w:r>
                <w:rPr>
                  <w:rFonts w:ascii="Arial" w:hAnsi="Arial" w:cs="Arial"/>
                  <w:color w:val="0000FF"/>
                  <w:sz w:val="20"/>
                  <w:szCs w:val="20"/>
                </w:rPr>
                <w:t>N 142</w:t>
              </w:r>
            </w:hyperlink>
            <w:r>
              <w:rPr>
                <w:rFonts w:ascii="Arial" w:hAnsi="Arial" w:cs="Arial"/>
                <w:color w:val="392C69"/>
                <w:sz w:val="20"/>
                <w:szCs w:val="20"/>
              </w:rPr>
              <w:t>)</w:t>
            </w:r>
          </w:p>
        </w:tc>
      </w:tr>
    </w:tbl>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Введение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w:t>
      </w:r>
      <w:proofErr w:type="gramStart"/>
      <w:r>
        <w:rPr>
          <w:rFonts w:ascii="Arial" w:hAnsi="Arial" w:cs="Arial"/>
          <w:sz w:val="20"/>
          <w:szCs w:val="20"/>
        </w:rPr>
        <w:t>мониторинга эффективности деятельности органов местного самоуправления</w:t>
      </w:r>
      <w:proofErr w:type="gramEnd"/>
      <w:r>
        <w:rPr>
          <w:rFonts w:ascii="Arial" w:hAnsi="Arial" w:cs="Arial"/>
          <w:sz w:val="20"/>
          <w:szCs w:val="20"/>
        </w:rP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оценки являются результаты деятельности органов местного самоуправления в следующих сферах:</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экономическое развитие;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дошкольное образование;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общее и дополнительное образование;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культура;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физическая культура и спорт;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жилищное строительство и обеспечение граждан жильем;</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жилищно-коммунальное хозяйство;</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муниципального 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энергосбережение и повышение энергетической эффективности.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Мониторинг эффективности деятельности органов местного самоуправления осуществляется в соответствии с </w:t>
      </w:r>
      <w:hyperlink r:id="rId23" w:history="1">
        <w:r>
          <w:rPr>
            <w:rFonts w:ascii="Arial" w:hAnsi="Arial" w:cs="Arial"/>
            <w:color w:val="0000FF"/>
            <w:sz w:val="20"/>
            <w:szCs w:val="20"/>
          </w:rPr>
          <w:t>перечнем</w:t>
        </w:r>
      </w:hyperlink>
      <w:r>
        <w:rPr>
          <w:rFonts w:ascii="Arial" w:hAnsi="Arial" w:cs="Arial"/>
          <w:sz w:val="20"/>
          <w:szCs w:val="20"/>
        </w:rP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ar51" w:history="1">
        <w:r>
          <w:rPr>
            <w:rFonts w:ascii="Arial" w:hAnsi="Arial" w:cs="Arial"/>
            <w:color w:val="0000FF"/>
            <w:sz w:val="20"/>
            <w:szCs w:val="20"/>
          </w:rPr>
          <w:t>перечнем</w:t>
        </w:r>
      </w:hyperlink>
      <w:r>
        <w:rPr>
          <w:rFonts w:ascii="Arial" w:hAnsi="Arial" w:cs="Arial"/>
          <w:sz w:val="20"/>
          <w:szCs w:val="20"/>
        </w:rPr>
        <w:t xml:space="preserve"> дополнительных показателей для оценки эффективности деятельности органов местного самоуправления</w:t>
      </w:r>
      <w:proofErr w:type="gramEnd"/>
      <w:r>
        <w:rPr>
          <w:rFonts w:ascii="Arial" w:hAnsi="Arial" w:cs="Arial"/>
          <w:sz w:val="20"/>
          <w:szCs w:val="20"/>
        </w:rPr>
        <w:t xml:space="preserve"> городских округов и муниципальных районов, утвержденным постановлением Правительства Российской Федерации 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Информация, содержащая значения показателей для оценки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деятельности органов местного самоуправления</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качестве исходных данных для проведения </w:t>
      </w:r>
      <w:proofErr w:type="gramStart"/>
      <w:r>
        <w:rPr>
          <w:rFonts w:ascii="Arial" w:hAnsi="Arial" w:cs="Arial"/>
          <w:sz w:val="20"/>
          <w:szCs w:val="20"/>
        </w:rPr>
        <w:t>мониторинга эффективности деятельности органов местного самоуправления</w:t>
      </w:r>
      <w:proofErr w:type="gramEnd"/>
      <w:r>
        <w:rPr>
          <w:rFonts w:ascii="Arial" w:hAnsi="Arial" w:cs="Arial"/>
          <w:sz w:val="20"/>
          <w:szCs w:val="20"/>
        </w:rP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Основным источником информации для заполнения типовой формы доклада является официальная статистическая информация.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ar190" w:history="1">
        <w:r>
          <w:rPr>
            <w:rFonts w:ascii="Arial" w:hAnsi="Arial" w:cs="Arial"/>
            <w:color w:val="0000FF"/>
            <w:sz w:val="20"/>
            <w:szCs w:val="20"/>
          </w:rPr>
          <w:t>типовой форме</w:t>
        </w:r>
      </w:hyperlink>
      <w:r>
        <w:rPr>
          <w:rFonts w:ascii="Arial" w:hAnsi="Arial" w:cs="Arial"/>
          <w:sz w:val="20"/>
          <w:szCs w:val="20"/>
        </w:rP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w:t>
      </w:r>
      <w:proofErr w:type="gramEnd"/>
      <w:r>
        <w:rPr>
          <w:rFonts w:ascii="Arial" w:hAnsi="Arial" w:cs="Arial"/>
          <w:sz w:val="20"/>
          <w:szCs w:val="20"/>
        </w:rPr>
        <w:t xml:space="preserve"> г. N 1317 (далее - типовая форма).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анализа учитываются полномочия органов местного самоуправления по решению вопросов местного значения.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w:t>
      </w:r>
      <w:proofErr w:type="gramStart"/>
      <w:r>
        <w:rPr>
          <w:rFonts w:ascii="Arial" w:hAnsi="Arial" w:cs="Arial"/>
          <w:sz w:val="20"/>
          <w:szCs w:val="20"/>
        </w:rPr>
        <w:t>эффективности деятельности органов местного самоуправления муниципальных районов</w:t>
      </w:r>
      <w:proofErr w:type="gramEnd"/>
      <w:r>
        <w:rPr>
          <w:rFonts w:ascii="Arial" w:hAnsi="Arial" w:cs="Arial"/>
          <w:sz w:val="20"/>
          <w:szCs w:val="20"/>
        </w:rP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Оценка эффективности деятельности органов</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Рост значений показателей, указанных в </w:t>
      </w:r>
      <w:hyperlink w:anchor="Par227" w:history="1">
        <w:r>
          <w:rPr>
            <w:rFonts w:ascii="Arial" w:hAnsi="Arial" w:cs="Arial"/>
            <w:color w:val="0000FF"/>
            <w:sz w:val="20"/>
            <w:szCs w:val="20"/>
          </w:rPr>
          <w:t>пунктах 1</w:t>
        </w:r>
      </w:hyperlink>
      <w:r>
        <w:rPr>
          <w:rFonts w:ascii="Arial" w:hAnsi="Arial" w:cs="Arial"/>
          <w:sz w:val="20"/>
          <w:szCs w:val="20"/>
        </w:rPr>
        <w:t xml:space="preserve"> - </w:t>
      </w:r>
      <w:hyperlink w:anchor="Par235" w:history="1">
        <w:r>
          <w:rPr>
            <w:rFonts w:ascii="Arial" w:hAnsi="Arial" w:cs="Arial"/>
            <w:color w:val="0000FF"/>
            <w:sz w:val="20"/>
            <w:szCs w:val="20"/>
          </w:rPr>
          <w:t>5</w:t>
        </w:r>
      </w:hyperlink>
      <w:r>
        <w:rPr>
          <w:rFonts w:ascii="Arial" w:hAnsi="Arial" w:cs="Arial"/>
          <w:sz w:val="20"/>
          <w:szCs w:val="20"/>
        </w:rPr>
        <w:t xml:space="preserve"> и </w:t>
      </w:r>
      <w:hyperlink w:anchor="Par241" w:history="1">
        <w:r>
          <w:rPr>
            <w:rFonts w:ascii="Arial" w:hAnsi="Arial" w:cs="Arial"/>
            <w:color w:val="0000FF"/>
            <w:sz w:val="20"/>
            <w:szCs w:val="20"/>
          </w:rPr>
          <w:t>8</w:t>
        </w:r>
      </w:hyperlink>
      <w:r>
        <w:rPr>
          <w:rFonts w:ascii="Arial" w:hAnsi="Arial" w:cs="Arial"/>
          <w:sz w:val="20"/>
          <w:szCs w:val="20"/>
        </w:rPr>
        <w:t xml:space="preserve"> типовой формы, и снижение значений показателей, указанных в </w:t>
      </w:r>
      <w:hyperlink w:anchor="Par237" w:history="1">
        <w:r>
          <w:rPr>
            <w:rFonts w:ascii="Arial" w:hAnsi="Arial" w:cs="Arial"/>
            <w:color w:val="0000FF"/>
            <w:sz w:val="20"/>
            <w:szCs w:val="20"/>
          </w:rPr>
          <w:t>пунктах 6</w:t>
        </w:r>
      </w:hyperlink>
      <w:r>
        <w:rPr>
          <w:rFonts w:ascii="Arial" w:hAnsi="Arial" w:cs="Arial"/>
          <w:sz w:val="20"/>
          <w:szCs w:val="20"/>
        </w:rPr>
        <w:t xml:space="preserve"> и </w:t>
      </w:r>
      <w:hyperlink w:anchor="Par239" w:history="1">
        <w:r>
          <w:rPr>
            <w:rFonts w:ascii="Arial" w:hAnsi="Arial" w:cs="Arial"/>
            <w:color w:val="0000FF"/>
            <w:sz w:val="20"/>
            <w:szCs w:val="20"/>
          </w:rPr>
          <w:t>7</w:t>
        </w:r>
      </w:hyperlink>
      <w:r>
        <w:rPr>
          <w:rFonts w:ascii="Arial" w:hAnsi="Arial" w:cs="Arial"/>
          <w:sz w:val="20"/>
          <w:szCs w:val="20"/>
        </w:rPr>
        <w:t xml:space="preserve"> типовой формы, свидетельствуют об эффективности деятельности органов местного самоуправления. Показатели, указанные в </w:t>
      </w:r>
      <w:hyperlink w:anchor="Par227" w:history="1">
        <w:r>
          <w:rPr>
            <w:rFonts w:ascii="Arial" w:hAnsi="Arial" w:cs="Arial"/>
            <w:color w:val="0000FF"/>
            <w:sz w:val="20"/>
            <w:szCs w:val="20"/>
          </w:rPr>
          <w:t>пунктах 1</w:t>
        </w:r>
      </w:hyperlink>
      <w:r>
        <w:rPr>
          <w:rFonts w:ascii="Arial" w:hAnsi="Arial" w:cs="Arial"/>
          <w:sz w:val="20"/>
          <w:szCs w:val="20"/>
        </w:rPr>
        <w:t xml:space="preserve"> и </w:t>
      </w:r>
      <w:hyperlink w:anchor="Par229" w:history="1">
        <w:r>
          <w:rPr>
            <w:rFonts w:ascii="Arial" w:hAnsi="Arial" w:cs="Arial"/>
            <w:color w:val="0000FF"/>
            <w:sz w:val="20"/>
            <w:szCs w:val="20"/>
          </w:rPr>
          <w:t>2</w:t>
        </w:r>
      </w:hyperlink>
      <w:r>
        <w:rPr>
          <w:rFonts w:ascii="Arial" w:hAnsi="Arial" w:cs="Arial"/>
          <w:sz w:val="20"/>
          <w:szCs w:val="20"/>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rPr>
          <w:rFonts w:ascii="Arial" w:hAnsi="Arial" w:cs="Arial"/>
          <w:sz w:val="20"/>
          <w:szCs w:val="20"/>
        </w:rPr>
        <w:t xml:space="preserve">Показатели, предусмотренные </w:t>
      </w:r>
      <w:hyperlink w:anchor="Par241" w:history="1">
        <w:r>
          <w:rPr>
            <w:rFonts w:ascii="Arial" w:hAnsi="Arial" w:cs="Arial"/>
            <w:color w:val="0000FF"/>
            <w:sz w:val="20"/>
            <w:szCs w:val="20"/>
          </w:rPr>
          <w:t>пунктом 8</w:t>
        </w:r>
      </w:hyperlink>
      <w:r>
        <w:rPr>
          <w:rFonts w:ascii="Arial" w:hAnsi="Arial" w:cs="Arial"/>
          <w:sz w:val="20"/>
          <w:szCs w:val="20"/>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r>
        <w:rPr>
          <w:rFonts w:ascii="Arial" w:hAnsi="Arial" w:cs="Arial"/>
          <w:sz w:val="20"/>
          <w:szCs w:val="20"/>
        </w:rPr>
        <w:t xml:space="preserve"> Показатель, указанный в </w:t>
      </w:r>
      <w:hyperlink w:anchor="Par233" w:history="1">
        <w:r>
          <w:rPr>
            <w:rFonts w:ascii="Arial" w:hAnsi="Arial" w:cs="Arial"/>
            <w:color w:val="0000FF"/>
            <w:sz w:val="20"/>
            <w:szCs w:val="20"/>
          </w:rPr>
          <w:t>пункте 4</w:t>
        </w:r>
      </w:hyperlink>
      <w:r>
        <w:rPr>
          <w:rFonts w:ascii="Arial" w:hAnsi="Arial" w:cs="Arial"/>
          <w:sz w:val="20"/>
          <w:szCs w:val="20"/>
        </w:rPr>
        <w:t xml:space="preserve"> типовой формы, характеризует усилия органов местного самоуправления по развитию собственной доходной базы.</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Снижение значений показателей, указанных в </w:t>
      </w:r>
      <w:hyperlink w:anchor="Par258" w:history="1">
        <w:r>
          <w:rPr>
            <w:rFonts w:ascii="Arial" w:hAnsi="Arial" w:cs="Arial"/>
            <w:color w:val="0000FF"/>
            <w:sz w:val="20"/>
            <w:szCs w:val="20"/>
          </w:rPr>
          <w:t>пунктах 10</w:t>
        </w:r>
      </w:hyperlink>
      <w:r>
        <w:rPr>
          <w:rFonts w:ascii="Arial" w:hAnsi="Arial" w:cs="Arial"/>
          <w:sz w:val="20"/>
          <w:szCs w:val="20"/>
        </w:rPr>
        <w:t xml:space="preserve"> и </w:t>
      </w:r>
      <w:hyperlink w:anchor="Par260" w:history="1">
        <w:r>
          <w:rPr>
            <w:rFonts w:ascii="Arial" w:hAnsi="Arial" w:cs="Arial"/>
            <w:color w:val="0000FF"/>
            <w:sz w:val="20"/>
            <w:szCs w:val="20"/>
          </w:rPr>
          <w:t>11</w:t>
        </w:r>
      </w:hyperlink>
      <w:r>
        <w:rPr>
          <w:rFonts w:ascii="Arial" w:hAnsi="Arial" w:cs="Arial"/>
          <w:sz w:val="20"/>
          <w:szCs w:val="20"/>
        </w:rPr>
        <w:t xml:space="preserve"> типовой формы, свидетельствует об эффективности деятельности органов местного самоуправления. Показатель, указанный в </w:t>
      </w:r>
      <w:hyperlink w:anchor="Par256" w:history="1">
        <w:r>
          <w:rPr>
            <w:rFonts w:ascii="Arial" w:hAnsi="Arial" w:cs="Arial"/>
            <w:color w:val="0000FF"/>
            <w:sz w:val="20"/>
            <w:szCs w:val="20"/>
          </w:rPr>
          <w:t>пункте 9</w:t>
        </w:r>
      </w:hyperlink>
      <w:r>
        <w:rPr>
          <w:rFonts w:ascii="Arial" w:hAnsi="Arial" w:cs="Arial"/>
          <w:sz w:val="20"/>
          <w:szCs w:val="20"/>
        </w:rPr>
        <w:t xml:space="preserve"> типовой формы, используется для экспертной оценки эффективности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Рост значений показателей, указанных в </w:t>
      </w:r>
      <w:hyperlink w:anchor="Par266" w:history="1">
        <w:r>
          <w:rPr>
            <w:rFonts w:ascii="Arial" w:hAnsi="Arial" w:cs="Arial"/>
            <w:color w:val="0000FF"/>
            <w:sz w:val="20"/>
            <w:szCs w:val="20"/>
          </w:rPr>
          <w:t>пунктах 14</w:t>
        </w:r>
      </w:hyperlink>
      <w:r>
        <w:rPr>
          <w:rFonts w:ascii="Arial" w:hAnsi="Arial" w:cs="Arial"/>
          <w:sz w:val="20"/>
          <w:szCs w:val="20"/>
        </w:rPr>
        <w:t xml:space="preserve">, </w:t>
      </w:r>
      <w:hyperlink w:anchor="Par270" w:history="1">
        <w:r>
          <w:rPr>
            <w:rFonts w:ascii="Arial" w:hAnsi="Arial" w:cs="Arial"/>
            <w:color w:val="0000FF"/>
            <w:sz w:val="20"/>
            <w:szCs w:val="20"/>
          </w:rPr>
          <w:t>16</w:t>
        </w:r>
      </w:hyperlink>
      <w:r>
        <w:rPr>
          <w:rFonts w:ascii="Arial" w:hAnsi="Arial" w:cs="Arial"/>
          <w:sz w:val="20"/>
          <w:szCs w:val="20"/>
        </w:rPr>
        <w:t xml:space="preserve"> и </w:t>
      </w:r>
      <w:hyperlink w:anchor="Par276" w:history="1">
        <w:r>
          <w:rPr>
            <w:rFonts w:ascii="Arial" w:hAnsi="Arial" w:cs="Arial"/>
            <w:color w:val="0000FF"/>
            <w:sz w:val="20"/>
            <w:szCs w:val="20"/>
          </w:rPr>
          <w:t>19</w:t>
        </w:r>
      </w:hyperlink>
      <w:r>
        <w:rPr>
          <w:rFonts w:ascii="Arial" w:hAnsi="Arial" w:cs="Arial"/>
          <w:sz w:val="20"/>
          <w:szCs w:val="20"/>
        </w:rPr>
        <w:t xml:space="preserve"> типовой формы, и снижение значений показателей, указанных в </w:t>
      </w:r>
      <w:hyperlink w:anchor="Par264" w:history="1">
        <w:r>
          <w:rPr>
            <w:rFonts w:ascii="Arial" w:hAnsi="Arial" w:cs="Arial"/>
            <w:color w:val="0000FF"/>
            <w:sz w:val="20"/>
            <w:szCs w:val="20"/>
          </w:rPr>
          <w:t>пунктах 13</w:t>
        </w:r>
      </w:hyperlink>
      <w:r>
        <w:rPr>
          <w:rFonts w:ascii="Arial" w:hAnsi="Arial" w:cs="Arial"/>
          <w:sz w:val="20"/>
          <w:szCs w:val="20"/>
        </w:rPr>
        <w:t xml:space="preserve">, </w:t>
      </w:r>
      <w:hyperlink w:anchor="Par268" w:history="1">
        <w:r>
          <w:rPr>
            <w:rFonts w:ascii="Arial" w:hAnsi="Arial" w:cs="Arial"/>
            <w:color w:val="0000FF"/>
            <w:sz w:val="20"/>
            <w:szCs w:val="20"/>
          </w:rPr>
          <w:t>15</w:t>
        </w:r>
      </w:hyperlink>
      <w:r>
        <w:rPr>
          <w:rFonts w:ascii="Arial" w:hAnsi="Arial" w:cs="Arial"/>
          <w:sz w:val="20"/>
          <w:szCs w:val="20"/>
        </w:rPr>
        <w:t xml:space="preserve"> и </w:t>
      </w:r>
      <w:hyperlink w:anchor="Par272" w:history="1">
        <w:r>
          <w:rPr>
            <w:rFonts w:ascii="Arial" w:hAnsi="Arial" w:cs="Arial"/>
            <w:color w:val="0000FF"/>
            <w:sz w:val="20"/>
            <w:szCs w:val="20"/>
          </w:rPr>
          <w:t>17</w:t>
        </w:r>
      </w:hyperlink>
      <w:r>
        <w:rPr>
          <w:rFonts w:ascii="Arial" w:hAnsi="Arial" w:cs="Arial"/>
          <w:sz w:val="20"/>
          <w:szCs w:val="20"/>
        </w:rPr>
        <w:t xml:space="preserve"> типовой формы, свидетельствуют об эффективности деятельности органов местного самоуправления. Показатель, указанный в </w:t>
      </w:r>
      <w:hyperlink w:anchor="Par274" w:history="1">
        <w:r>
          <w:rPr>
            <w:rFonts w:ascii="Arial" w:hAnsi="Arial" w:cs="Arial"/>
            <w:color w:val="0000FF"/>
            <w:sz w:val="20"/>
            <w:szCs w:val="20"/>
          </w:rPr>
          <w:t>пункте 18</w:t>
        </w:r>
      </w:hyperlink>
      <w:r>
        <w:rPr>
          <w:rFonts w:ascii="Arial" w:hAnsi="Arial" w:cs="Arial"/>
          <w:sz w:val="20"/>
          <w:szCs w:val="20"/>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ar276" w:history="1">
        <w:r>
          <w:rPr>
            <w:rFonts w:ascii="Arial" w:hAnsi="Arial" w:cs="Arial"/>
            <w:color w:val="0000FF"/>
            <w:sz w:val="20"/>
            <w:szCs w:val="20"/>
          </w:rPr>
          <w:t>пункте 19</w:t>
        </w:r>
      </w:hyperlink>
      <w:r>
        <w:rPr>
          <w:rFonts w:ascii="Arial" w:hAnsi="Arial" w:cs="Arial"/>
          <w:sz w:val="20"/>
          <w:szCs w:val="20"/>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06.02.2017 N 142)</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Рост значения показателя, указанного в </w:t>
      </w:r>
      <w:hyperlink w:anchor="Par279" w:history="1">
        <w:r>
          <w:rPr>
            <w:rFonts w:ascii="Arial" w:hAnsi="Arial" w:cs="Arial"/>
            <w:color w:val="0000FF"/>
            <w:sz w:val="20"/>
            <w:szCs w:val="20"/>
          </w:rPr>
          <w:t>пункте 20</w:t>
        </w:r>
      </w:hyperlink>
      <w:r>
        <w:rPr>
          <w:rFonts w:ascii="Arial" w:hAnsi="Arial" w:cs="Arial"/>
          <w:sz w:val="20"/>
          <w:szCs w:val="20"/>
        </w:rPr>
        <w:t xml:space="preserve"> типовой формы, и снижение значений показателей, указанных в </w:t>
      </w:r>
      <w:hyperlink w:anchor="Par287" w:history="1">
        <w:r>
          <w:rPr>
            <w:rFonts w:ascii="Arial" w:hAnsi="Arial" w:cs="Arial"/>
            <w:color w:val="0000FF"/>
            <w:sz w:val="20"/>
            <w:szCs w:val="20"/>
          </w:rPr>
          <w:t>пунктах 21</w:t>
        </w:r>
      </w:hyperlink>
      <w:r>
        <w:rPr>
          <w:rFonts w:ascii="Arial" w:hAnsi="Arial" w:cs="Arial"/>
          <w:sz w:val="20"/>
          <w:szCs w:val="20"/>
        </w:rPr>
        <w:t xml:space="preserve"> и </w:t>
      </w:r>
      <w:hyperlink w:anchor="Par289" w:history="1">
        <w:r>
          <w:rPr>
            <w:rFonts w:ascii="Arial" w:hAnsi="Arial" w:cs="Arial"/>
            <w:color w:val="0000FF"/>
            <w:sz w:val="20"/>
            <w:szCs w:val="20"/>
          </w:rPr>
          <w:t>22</w:t>
        </w:r>
      </w:hyperlink>
      <w:r>
        <w:rPr>
          <w:rFonts w:ascii="Arial" w:hAnsi="Arial" w:cs="Arial"/>
          <w:sz w:val="20"/>
          <w:szCs w:val="20"/>
        </w:rPr>
        <w:t xml:space="preserve"> типовой формы, свидетельствуют об эффективности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Рост значения показателей, указанных в </w:t>
      </w:r>
      <w:hyperlink w:anchor="Par292" w:history="1">
        <w:r>
          <w:rPr>
            <w:rFonts w:ascii="Arial" w:hAnsi="Arial" w:cs="Arial"/>
            <w:color w:val="0000FF"/>
            <w:sz w:val="20"/>
            <w:szCs w:val="20"/>
          </w:rPr>
          <w:t>пунктах 23</w:t>
        </w:r>
      </w:hyperlink>
      <w:r>
        <w:rPr>
          <w:rFonts w:ascii="Arial" w:hAnsi="Arial" w:cs="Arial"/>
          <w:sz w:val="20"/>
          <w:szCs w:val="20"/>
        </w:rPr>
        <w:t xml:space="preserve"> и </w:t>
      </w:r>
      <w:hyperlink w:anchor="Par294" w:history="1">
        <w:r>
          <w:rPr>
            <w:rFonts w:ascii="Arial" w:hAnsi="Arial" w:cs="Arial"/>
            <w:color w:val="0000FF"/>
            <w:sz w:val="20"/>
            <w:szCs w:val="20"/>
          </w:rPr>
          <w:t>23(1)</w:t>
        </w:r>
      </w:hyperlink>
      <w:r>
        <w:rPr>
          <w:rFonts w:ascii="Arial" w:hAnsi="Arial" w:cs="Arial"/>
          <w:sz w:val="20"/>
          <w:szCs w:val="20"/>
        </w:rPr>
        <w:t xml:space="preserve"> типовой формы, свидетельствует об эффективности деятельности органов местного самоуправления.</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12.10.2015 N 1096)</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Рост значений показателей, указанных в </w:t>
      </w:r>
      <w:hyperlink w:anchor="Par297" w:history="1">
        <w:r>
          <w:rPr>
            <w:rFonts w:ascii="Arial" w:hAnsi="Arial" w:cs="Arial"/>
            <w:color w:val="0000FF"/>
            <w:sz w:val="20"/>
            <w:szCs w:val="20"/>
          </w:rPr>
          <w:t>пунктах 24</w:t>
        </w:r>
      </w:hyperlink>
      <w:r>
        <w:rPr>
          <w:rFonts w:ascii="Arial" w:hAnsi="Arial" w:cs="Arial"/>
          <w:sz w:val="20"/>
          <w:szCs w:val="20"/>
        </w:rPr>
        <w:t xml:space="preserve"> и </w:t>
      </w:r>
      <w:hyperlink w:anchor="Par301" w:history="1">
        <w:r>
          <w:rPr>
            <w:rFonts w:ascii="Arial" w:hAnsi="Arial" w:cs="Arial"/>
            <w:color w:val="0000FF"/>
            <w:sz w:val="20"/>
            <w:szCs w:val="20"/>
          </w:rPr>
          <w:t>25</w:t>
        </w:r>
      </w:hyperlink>
      <w:r>
        <w:rPr>
          <w:rFonts w:ascii="Arial" w:hAnsi="Arial" w:cs="Arial"/>
          <w:sz w:val="20"/>
          <w:szCs w:val="20"/>
        </w:rPr>
        <w:t xml:space="preserve"> типовой формы, и снижение значения показателя, указанного в </w:t>
      </w:r>
      <w:hyperlink w:anchor="Par305" w:history="1">
        <w:r>
          <w:rPr>
            <w:rFonts w:ascii="Arial" w:hAnsi="Arial" w:cs="Arial"/>
            <w:color w:val="0000FF"/>
            <w:sz w:val="20"/>
            <w:szCs w:val="20"/>
          </w:rPr>
          <w:t>пункте 26</w:t>
        </w:r>
      </w:hyperlink>
      <w:r>
        <w:rPr>
          <w:rFonts w:ascii="Arial" w:hAnsi="Arial" w:cs="Arial"/>
          <w:sz w:val="20"/>
          <w:szCs w:val="20"/>
        </w:rP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Рост значений показателей, указанных в </w:t>
      </w:r>
      <w:hyperlink w:anchor="Par312" w:history="1">
        <w:r>
          <w:rPr>
            <w:rFonts w:ascii="Arial" w:hAnsi="Arial" w:cs="Arial"/>
            <w:color w:val="0000FF"/>
            <w:sz w:val="20"/>
            <w:szCs w:val="20"/>
          </w:rPr>
          <w:t>пунктах 27</w:t>
        </w:r>
      </w:hyperlink>
      <w:r>
        <w:rPr>
          <w:rFonts w:ascii="Arial" w:hAnsi="Arial" w:cs="Arial"/>
          <w:sz w:val="20"/>
          <w:szCs w:val="20"/>
        </w:rPr>
        <w:t xml:space="preserve"> - </w:t>
      </w:r>
      <w:hyperlink w:anchor="Par318" w:history="1">
        <w:r>
          <w:rPr>
            <w:rFonts w:ascii="Arial" w:hAnsi="Arial" w:cs="Arial"/>
            <w:color w:val="0000FF"/>
            <w:sz w:val="20"/>
            <w:szCs w:val="20"/>
          </w:rPr>
          <w:t>30</w:t>
        </w:r>
      </w:hyperlink>
      <w:r>
        <w:rPr>
          <w:rFonts w:ascii="Arial" w:hAnsi="Arial" w:cs="Arial"/>
          <w:sz w:val="20"/>
          <w:szCs w:val="20"/>
        </w:rPr>
        <w:t xml:space="preserve"> типовой формы, свидетельствует об эффективности деятельности органов местного самоуправления. Показатели, предусмотренные </w:t>
      </w:r>
      <w:hyperlink w:anchor="Par312" w:history="1">
        <w:r>
          <w:rPr>
            <w:rFonts w:ascii="Arial" w:hAnsi="Arial" w:cs="Arial"/>
            <w:color w:val="0000FF"/>
            <w:sz w:val="20"/>
            <w:szCs w:val="20"/>
          </w:rPr>
          <w:t>пунктами 27</w:t>
        </w:r>
      </w:hyperlink>
      <w:r>
        <w:rPr>
          <w:rFonts w:ascii="Arial" w:hAnsi="Arial" w:cs="Arial"/>
          <w:sz w:val="20"/>
          <w:szCs w:val="20"/>
        </w:rPr>
        <w:t xml:space="preserve"> - </w:t>
      </w:r>
      <w:hyperlink w:anchor="Par318" w:history="1">
        <w:r>
          <w:rPr>
            <w:rFonts w:ascii="Arial" w:hAnsi="Arial" w:cs="Arial"/>
            <w:color w:val="0000FF"/>
            <w:sz w:val="20"/>
            <w:szCs w:val="20"/>
          </w:rPr>
          <w:t>30</w:t>
        </w:r>
      </w:hyperlink>
      <w:r>
        <w:rPr>
          <w:rFonts w:ascii="Arial" w:hAnsi="Arial" w:cs="Arial"/>
          <w:sz w:val="20"/>
          <w:szCs w:val="20"/>
        </w:rPr>
        <w:t xml:space="preserve"> типовой формы, характеризуют развитие конкурентных отношений в отрасли, а также ее инвестиционную привлекательность.</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Рост значений показателей, указанных в </w:t>
      </w:r>
      <w:hyperlink w:anchor="Par321" w:history="1">
        <w:r>
          <w:rPr>
            <w:rFonts w:ascii="Arial" w:hAnsi="Arial" w:cs="Arial"/>
            <w:color w:val="0000FF"/>
            <w:sz w:val="20"/>
            <w:szCs w:val="20"/>
          </w:rPr>
          <w:t>пунктах 31</w:t>
        </w:r>
      </w:hyperlink>
      <w:r>
        <w:rPr>
          <w:rFonts w:ascii="Arial" w:hAnsi="Arial" w:cs="Arial"/>
          <w:sz w:val="20"/>
          <w:szCs w:val="20"/>
        </w:rPr>
        <w:t xml:space="preserve"> и </w:t>
      </w:r>
      <w:hyperlink w:anchor="Par373" w:history="1">
        <w:r>
          <w:rPr>
            <w:rFonts w:ascii="Arial" w:hAnsi="Arial" w:cs="Arial"/>
            <w:color w:val="0000FF"/>
            <w:sz w:val="20"/>
            <w:szCs w:val="20"/>
          </w:rPr>
          <w:t>37</w:t>
        </w:r>
      </w:hyperlink>
      <w:r>
        <w:rPr>
          <w:rFonts w:ascii="Arial" w:hAnsi="Arial" w:cs="Arial"/>
          <w:sz w:val="20"/>
          <w:szCs w:val="20"/>
        </w:rPr>
        <w:t xml:space="preserve"> типовой формы, и снижение значений показателей, указанных в </w:t>
      </w:r>
      <w:hyperlink w:anchor="Par330" w:history="1">
        <w:r>
          <w:rPr>
            <w:rFonts w:ascii="Arial" w:hAnsi="Arial" w:cs="Arial"/>
            <w:color w:val="0000FF"/>
            <w:sz w:val="20"/>
            <w:szCs w:val="20"/>
          </w:rPr>
          <w:t>пунктах 32</w:t>
        </w:r>
      </w:hyperlink>
      <w:r>
        <w:rPr>
          <w:rFonts w:ascii="Arial" w:hAnsi="Arial" w:cs="Arial"/>
          <w:sz w:val="20"/>
          <w:szCs w:val="20"/>
        </w:rPr>
        <w:t xml:space="preserve"> - </w:t>
      </w:r>
      <w:hyperlink w:anchor="Par348" w:history="1">
        <w:r>
          <w:rPr>
            <w:rFonts w:ascii="Arial" w:hAnsi="Arial" w:cs="Arial"/>
            <w:color w:val="0000FF"/>
            <w:sz w:val="20"/>
            <w:szCs w:val="20"/>
          </w:rPr>
          <w:t>34</w:t>
        </w:r>
      </w:hyperlink>
      <w:r>
        <w:rPr>
          <w:rFonts w:ascii="Arial" w:hAnsi="Arial" w:cs="Arial"/>
          <w:sz w:val="20"/>
          <w:szCs w:val="20"/>
        </w:rPr>
        <w:t xml:space="preserve"> типовой формы, свидетельствуют об эффективности деятельности органов местного самоуправления. Показатели, указанные в </w:t>
      </w:r>
      <w:hyperlink w:anchor="Par358" w:history="1">
        <w:r>
          <w:rPr>
            <w:rFonts w:ascii="Arial" w:hAnsi="Arial" w:cs="Arial"/>
            <w:color w:val="0000FF"/>
            <w:sz w:val="20"/>
            <w:szCs w:val="20"/>
          </w:rPr>
          <w:t>пунктах 35</w:t>
        </w:r>
      </w:hyperlink>
      <w:r>
        <w:rPr>
          <w:rFonts w:ascii="Arial" w:hAnsi="Arial" w:cs="Arial"/>
          <w:sz w:val="20"/>
          <w:szCs w:val="20"/>
        </w:rPr>
        <w:t xml:space="preserve"> и </w:t>
      </w:r>
      <w:hyperlink w:anchor="Par365" w:history="1">
        <w:r>
          <w:rPr>
            <w:rFonts w:ascii="Arial" w:hAnsi="Arial" w:cs="Arial"/>
            <w:color w:val="0000FF"/>
            <w:sz w:val="20"/>
            <w:szCs w:val="20"/>
          </w:rPr>
          <w:t>36</w:t>
        </w:r>
      </w:hyperlink>
      <w:r>
        <w:rPr>
          <w:rFonts w:ascii="Arial" w:hAnsi="Arial" w:cs="Arial"/>
          <w:sz w:val="20"/>
          <w:szCs w:val="20"/>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ar321" w:history="1">
        <w:r>
          <w:rPr>
            <w:rFonts w:ascii="Arial" w:hAnsi="Arial" w:cs="Arial"/>
            <w:color w:val="0000FF"/>
            <w:sz w:val="20"/>
            <w:szCs w:val="20"/>
          </w:rPr>
          <w:t>пункте 31</w:t>
        </w:r>
      </w:hyperlink>
      <w:r>
        <w:rPr>
          <w:rFonts w:ascii="Arial" w:hAnsi="Arial" w:cs="Arial"/>
          <w:sz w:val="20"/>
          <w:szCs w:val="20"/>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ar381" w:history="1">
        <w:r>
          <w:rPr>
            <w:rFonts w:ascii="Arial" w:hAnsi="Arial" w:cs="Arial"/>
            <w:color w:val="0000FF"/>
            <w:sz w:val="20"/>
            <w:szCs w:val="20"/>
          </w:rPr>
          <w:t>пункте 38</w:t>
        </w:r>
      </w:hyperlink>
      <w:r>
        <w:rPr>
          <w:rFonts w:ascii="Arial" w:hAnsi="Arial" w:cs="Arial"/>
          <w:sz w:val="20"/>
          <w:szCs w:val="20"/>
        </w:rPr>
        <w:t xml:space="preserve"> типовой формы, свидетельствует об эффективности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Снижение значений показателей, указанных в </w:t>
      </w:r>
      <w:hyperlink w:anchor="Par386" w:history="1">
        <w:r>
          <w:rPr>
            <w:rFonts w:ascii="Arial" w:hAnsi="Arial" w:cs="Arial"/>
            <w:color w:val="0000FF"/>
            <w:sz w:val="20"/>
            <w:szCs w:val="20"/>
          </w:rPr>
          <w:t>пунктах 39</w:t>
        </w:r>
      </w:hyperlink>
      <w:r>
        <w:rPr>
          <w:rFonts w:ascii="Arial" w:hAnsi="Arial" w:cs="Arial"/>
          <w:sz w:val="20"/>
          <w:szCs w:val="20"/>
        </w:rPr>
        <w:t xml:space="preserve"> и </w:t>
      </w:r>
      <w:hyperlink w:anchor="Par404" w:history="1">
        <w:r>
          <w:rPr>
            <w:rFonts w:ascii="Arial" w:hAnsi="Arial" w:cs="Arial"/>
            <w:color w:val="0000FF"/>
            <w:sz w:val="20"/>
            <w:szCs w:val="20"/>
          </w:rPr>
          <w:t>40</w:t>
        </w:r>
      </w:hyperlink>
      <w:r>
        <w:rPr>
          <w:rFonts w:ascii="Arial" w:hAnsi="Arial" w:cs="Arial"/>
          <w:sz w:val="20"/>
          <w:szCs w:val="20"/>
        </w:rPr>
        <w:t xml:space="preserve"> типовой формы, свидетельствует об эффективности деятельности органов местного самоуправления.</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12.10.2015 </w:t>
            </w:r>
            <w:hyperlink r:id="rId26" w:history="1">
              <w:r>
                <w:rPr>
                  <w:rFonts w:ascii="Arial" w:hAnsi="Arial" w:cs="Arial"/>
                  <w:color w:val="0000FF"/>
                  <w:sz w:val="20"/>
                  <w:szCs w:val="20"/>
                </w:rPr>
                <w:t>N 1096</w:t>
              </w:r>
            </w:hyperlink>
            <w:r>
              <w:rPr>
                <w:rFonts w:ascii="Arial" w:hAnsi="Arial" w:cs="Arial"/>
                <w:color w:val="392C69"/>
                <w:sz w:val="20"/>
                <w:szCs w:val="20"/>
              </w:rPr>
              <w:t>,</w:t>
            </w:r>
            <w:proofErr w:type="gramEnd"/>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06.02.2017 </w:t>
            </w:r>
            <w:hyperlink r:id="rId27" w:history="1">
              <w:r>
                <w:rPr>
                  <w:rFonts w:ascii="Arial" w:hAnsi="Arial" w:cs="Arial"/>
                  <w:color w:val="0000FF"/>
                  <w:sz w:val="20"/>
                  <w:szCs w:val="20"/>
                </w:rPr>
                <w:t>N 142</w:t>
              </w:r>
            </w:hyperlink>
            <w:r>
              <w:rPr>
                <w:rFonts w:ascii="Arial" w:hAnsi="Arial" w:cs="Arial"/>
                <w:color w:val="392C69"/>
                <w:sz w:val="20"/>
                <w:szCs w:val="20"/>
              </w:rPr>
              <w:t>)</w:t>
            </w:r>
          </w:p>
        </w:tc>
      </w:tr>
    </w:tbl>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 w:name="Par190"/>
      <w:bookmarkEnd w:id="3"/>
      <w:r>
        <w:rPr>
          <w:rFonts w:ascii="Courier New" w:eastAsiaTheme="minorHAnsi" w:hAnsi="Courier New" w:cs="Courier New"/>
          <w:b w:val="0"/>
          <w:bCs w:val="0"/>
          <w:color w:val="auto"/>
          <w:sz w:val="20"/>
          <w:szCs w:val="20"/>
        </w:rPr>
        <w:t xml:space="preserve">                           ТИПОВАЯ ФОРМА ДОКЛАДА</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главы местной администрации городского округа</w:t>
      </w:r>
      <w:proofErr w:type="gramEnd"/>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района))</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городского округа (муниципального района)</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достигнутых значениях показателей для оценки эффективности</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деятельности органов местного самоуправления городских округов</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муниципальных районов за ____ год и их планируемых </w:t>
      </w:r>
      <w:proofErr w:type="gramStart"/>
      <w:r>
        <w:rPr>
          <w:rFonts w:ascii="Courier New" w:eastAsiaTheme="minorHAnsi" w:hAnsi="Courier New" w:cs="Courier New"/>
          <w:b w:val="0"/>
          <w:bCs w:val="0"/>
          <w:color w:val="auto"/>
          <w:sz w:val="20"/>
          <w:szCs w:val="20"/>
        </w:rPr>
        <w:t>значениях</w:t>
      </w:r>
      <w:proofErr w:type="gramEnd"/>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3-летний период</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___________________</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"__" _________ ____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Показатели эффективности деятельности органов местного</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самоуправления городского округа (муниципального района)</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w:t>
      </w:r>
    </w:p>
    <w:p w:rsidR="00A47D80" w:rsidRDefault="00A47D80" w:rsidP="00A47D8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(официальное наименование городского округа (муниципального района))</w:t>
      </w:r>
    </w:p>
    <w:p w:rsidR="00A47D80" w:rsidRDefault="00A47D80" w:rsidP="00A47D80">
      <w:pPr>
        <w:autoSpaceDE w:val="0"/>
        <w:autoSpaceDN w:val="0"/>
        <w:adjustRightInd w:val="0"/>
        <w:spacing w:after="0" w:line="240" w:lineRule="auto"/>
        <w:jc w:val="both"/>
        <w:rPr>
          <w:rFonts w:ascii="Arial" w:hAnsi="Arial" w:cs="Arial"/>
          <w:sz w:val="20"/>
          <w:szCs w:val="20"/>
        </w:rPr>
      </w:pPr>
    </w:p>
    <w:p w:rsidR="00A47D80" w:rsidRDefault="00A47D80" w:rsidP="00A47D80">
      <w:pPr>
        <w:autoSpaceDE w:val="0"/>
        <w:autoSpaceDN w:val="0"/>
        <w:adjustRightInd w:val="0"/>
        <w:spacing w:after="0" w:line="240" w:lineRule="auto"/>
        <w:jc w:val="both"/>
        <w:rPr>
          <w:rFonts w:ascii="Arial" w:hAnsi="Arial" w:cs="Arial"/>
          <w:sz w:val="20"/>
          <w:szCs w:val="20"/>
        </w:rPr>
        <w:sectPr w:rsidR="00A47D8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A47D80">
        <w:tc>
          <w:tcPr>
            <w:tcW w:w="5940" w:type="dxa"/>
            <w:vMerge w:val="restart"/>
            <w:tcBorders>
              <w:top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p>
        </w:tc>
        <w:tc>
          <w:tcPr>
            <w:tcW w:w="2145" w:type="dxa"/>
            <w:vMerge w:val="restart"/>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6765" w:type="dxa"/>
            <w:gridSpan w:val="6"/>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Отчетная информация</w:t>
            </w:r>
          </w:p>
        </w:tc>
        <w:tc>
          <w:tcPr>
            <w:tcW w:w="1980" w:type="dxa"/>
            <w:vMerge w:val="restart"/>
            <w:tcBorders>
              <w:top w:val="single" w:sz="4" w:space="0" w:color="auto"/>
              <w:left w:val="single" w:sz="4" w:space="0" w:color="auto"/>
              <w:bottom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A47D80">
        <w:tc>
          <w:tcPr>
            <w:tcW w:w="5940" w:type="dxa"/>
            <w:vMerge/>
            <w:tcBorders>
              <w:top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both"/>
              <w:rPr>
                <w:rFonts w:ascii="Arial" w:hAnsi="Arial" w:cs="Arial"/>
                <w:sz w:val="20"/>
                <w:szCs w:val="20"/>
              </w:rPr>
            </w:pPr>
          </w:p>
        </w:tc>
        <w:tc>
          <w:tcPr>
            <w:tcW w:w="2145" w:type="dxa"/>
            <w:vMerge/>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- 2</w:t>
            </w:r>
          </w:p>
        </w:tc>
        <w:tc>
          <w:tcPr>
            <w:tcW w:w="1155"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- 1</w:t>
            </w:r>
          </w:p>
        </w:tc>
        <w:tc>
          <w:tcPr>
            <w:tcW w:w="825"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320"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+ 1</w:t>
            </w:r>
          </w:p>
        </w:tc>
        <w:tc>
          <w:tcPr>
            <w:tcW w:w="1155"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+ 2</w:t>
            </w:r>
          </w:p>
        </w:tc>
        <w:tc>
          <w:tcPr>
            <w:tcW w:w="1155" w:type="dxa"/>
            <w:tcBorders>
              <w:top w:val="single" w:sz="4" w:space="0" w:color="auto"/>
              <w:left w:val="single" w:sz="4" w:space="0" w:color="auto"/>
              <w:bottom w:val="single" w:sz="4" w:space="0" w:color="auto"/>
              <w:right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+ 3</w:t>
            </w:r>
          </w:p>
        </w:tc>
        <w:tc>
          <w:tcPr>
            <w:tcW w:w="1980" w:type="dxa"/>
            <w:vMerge/>
            <w:tcBorders>
              <w:top w:val="single" w:sz="4" w:space="0" w:color="auto"/>
              <w:left w:val="single" w:sz="4" w:space="0" w:color="auto"/>
              <w:bottom w:val="single" w:sz="4" w:space="0" w:color="auto"/>
            </w:tcBorders>
          </w:tcPr>
          <w:p w:rsidR="00A47D80" w:rsidRDefault="00A47D80">
            <w:pPr>
              <w:autoSpaceDE w:val="0"/>
              <w:autoSpaceDN w:val="0"/>
              <w:adjustRightInd w:val="0"/>
              <w:spacing w:after="0" w:line="240" w:lineRule="auto"/>
              <w:jc w:val="center"/>
              <w:rPr>
                <w:rFonts w:ascii="Arial" w:hAnsi="Arial" w:cs="Arial"/>
                <w:sz w:val="20"/>
                <w:szCs w:val="20"/>
              </w:rPr>
            </w:pPr>
          </w:p>
        </w:tc>
      </w:tr>
      <w:tr w:rsidR="00A47D80">
        <w:tc>
          <w:tcPr>
            <w:tcW w:w="16830" w:type="dxa"/>
            <w:gridSpan w:val="9"/>
            <w:tcBorders>
              <w:top w:val="single" w:sz="4" w:space="0" w:color="auto"/>
            </w:tcBorders>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Экономическое развитие</w:t>
            </w:r>
          </w:p>
        </w:tc>
      </w:tr>
      <w:tr w:rsidR="00A47D80">
        <w:tc>
          <w:tcPr>
            <w:tcW w:w="5940" w:type="dxa"/>
          </w:tcPr>
          <w:p w:rsidR="00A47D80" w:rsidRDefault="00A47D80">
            <w:pPr>
              <w:autoSpaceDE w:val="0"/>
              <w:autoSpaceDN w:val="0"/>
              <w:adjustRightInd w:val="0"/>
              <w:spacing w:after="0" w:line="240" w:lineRule="auto"/>
              <w:jc w:val="both"/>
              <w:rPr>
                <w:rFonts w:ascii="Arial" w:hAnsi="Arial" w:cs="Arial"/>
                <w:sz w:val="20"/>
                <w:szCs w:val="20"/>
              </w:rPr>
            </w:pPr>
          </w:p>
        </w:tc>
        <w:tc>
          <w:tcPr>
            <w:tcW w:w="10890" w:type="dxa"/>
            <w:gridSpan w:val="8"/>
          </w:tcPr>
          <w:p w:rsidR="00A47D80" w:rsidRDefault="00A47D80">
            <w:pPr>
              <w:autoSpaceDE w:val="0"/>
              <w:autoSpaceDN w:val="0"/>
              <w:adjustRightInd w:val="0"/>
              <w:spacing w:after="0" w:line="240" w:lineRule="auto"/>
              <w:jc w:val="both"/>
              <w:rPr>
                <w:rFonts w:ascii="Arial" w:hAnsi="Arial" w:cs="Arial"/>
                <w:sz w:val="20"/>
                <w:szCs w:val="20"/>
              </w:rPr>
            </w:pP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4" w:name="Par227"/>
            <w:bookmarkEnd w:id="4"/>
            <w:r>
              <w:rPr>
                <w:rFonts w:ascii="Arial" w:hAnsi="Arial" w:cs="Arial"/>
                <w:sz w:val="20"/>
                <w:szCs w:val="20"/>
              </w:rPr>
              <w:t>1. Число субъектов малого и среднего предпринимательства в расчете на 10 тыс. человек населения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единиц</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5" w:name="Par229"/>
            <w:bookmarkEnd w:id="5"/>
            <w:r>
              <w:rPr>
                <w:rFonts w:ascii="Arial" w:hAnsi="Arial" w:cs="Arial"/>
                <w:sz w:val="20"/>
                <w:szCs w:val="20"/>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3. Объем инвестиций в основной капитал (за исключением бюджетных средств) в расчете на 1 жителя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рублей</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6" w:name="Par233"/>
            <w:bookmarkEnd w:id="6"/>
            <w:r>
              <w:rPr>
                <w:rFonts w:ascii="Arial" w:hAnsi="Arial" w:cs="Arial"/>
                <w:sz w:val="20"/>
                <w:szCs w:val="20"/>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7" w:name="Par235"/>
            <w:bookmarkEnd w:id="7"/>
            <w:r>
              <w:rPr>
                <w:rFonts w:ascii="Arial" w:hAnsi="Arial" w:cs="Arial"/>
                <w:sz w:val="20"/>
                <w:szCs w:val="20"/>
              </w:rPr>
              <w:t xml:space="preserve">5. Доля прибыльных сельскохозяйственных </w:t>
            </w:r>
            <w:proofErr w:type="gramStart"/>
            <w:r>
              <w:rPr>
                <w:rFonts w:ascii="Arial" w:hAnsi="Arial" w:cs="Arial"/>
                <w:sz w:val="20"/>
                <w:szCs w:val="20"/>
              </w:rPr>
              <w:t>организаций</w:t>
            </w:r>
            <w:proofErr w:type="gramEnd"/>
            <w:r>
              <w:rPr>
                <w:rFonts w:ascii="Arial" w:hAnsi="Arial" w:cs="Arial"/>
                <w:sz w:val="20"/>
                <w:szCs w:val="20"/>
              </w:rPr>
              <w:t xml:space="preserve"> в общем их числе</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8" w:name="Par237"/>
            <w:bookmarkEnd w:id="8"/>
            <w:r>
              <w:rPr>
                <w:rFonts w:ascii="Arial" w:hAnsi="Arial" w:cs="Arial"/>
                <w:sz w:val="20"/>
                <w:szCs w:val="20"/>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9" w:name="Par239"/>
            <w:bookmarkEnd w:id="9"/>
            <w:r>
              <w:rPr>
                <w:rFonts w:ascii="Arial" w:hAnsi="Arial" w:cs="Arial"/>
                <w:sz w:val="20"/>
                <w:szCs w:val="20"/>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0" w:name="Par241"/>
            <w:bookmarkEnd w:id="10"/>
            <w:r>
              <w:rPr>
                <w:rFonts w:ascii="Arial" w:hAnsi="Arial" w:cs="Arial"/>
                <w:sz w:val="20"/>
                <w:szCs w:val="20"/>
              </w:rPr>
              <w:t>8. Среднемесячная номинальная начисленная заработная плата работников:</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рублей</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крупных и средних предприятий и некоммерческих организаций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lastRenderedPageBreak/>
              <w:t>муниципальных дошкольных 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муниципальных общеобразовательных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учителей муниципальных общеобразовательных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рублей</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муниципальных учреждений культуры и искусства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муниципальных учреждений физической культуры и спорта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Дошкольное образование</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1" w:name="Par256"/>
            <w:bookmarkEnd w:id="11"/>
            <w:r>
              <w:rPr>
                <w:rFonts w:ascii="Arial" w:hAnsi="Arial" w:cs="Arial"/>
                <w:sz w:val="20"/>
                <w:szCs w:val="20"/>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2" w:name="Par258"/>
            <w:bookmarkEnd w:id="12"/>
            <w:r>
              <w:rPr>
                <w:rFonts w:ascii="Arial" w:hAnsi="Arial" w:cs="Arial"/>
                <w:sz w:val="20"/>
                <w:szCs w:val="20"/>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3" w:name="Par260"/>
            <w:bookmarkEnd w:id="13"/>
            <w:r>
              <w:rPr>
                <w:rFonts w:ascii="Arial" w:hAnsi="Arial" w:cs="Arial"/>
                <w:sz w:val="20"/>
                <w:szCs w:val="20"/>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Общее и дополнительное образование</w:t>
            </w:r>
          </w:p>
        </w:tc>
      </w:tr>
      <w:tr w:rsidR="00A47D80">
        <w:tc>
          <w:tcPr>
            <w:tcW w:w="16830" w:type="dxa"/>
            <w:gridSpan w:val="9"/>
          </w:tcPr>
          <w:p w:rsidR="00A47D80" w:rsidRDefault="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 Исключен</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4" w:name="Par264"/>
            <w:bookmarkEnd w:id="14"/>
            <w:r>
              <w:rPr>
                <w:rFonts w:ascii="Arial" w:hAnsi="Arial" w:cs="Arial"/>
                <w:sz w:val="20"/>
                <w:szCs w:val="20"/>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5" w:name="Par266"/>
            <w:bookmarkEnd w:id="15"/>
            <w:r>
              <w:rPr>
                <w:rFonts w:ascii="Arial" w:hAnsi="Arial" w:cs="Arial"/>
                <w:sz w:val="20"/>
                <w:szCs w:val="20"/>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6" w:name="Par268"/>
            <w:bookmarkEnd w:id="16"/>
            <w:r>
              <w:rPr>
                <w:rFonts w:ascii="Arial" w:hAnsi="Arial" w:cs="Arial"/>
                <w:sz w:val="20"/>
                <w:szCs w:val="20"/>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7" w:name="Par270"/>
            <w:bookmarkEnd w:id="17"/>
            <w:r>
              <w:rPr>
                <w:rFonts w:ascii="Arial" w:hAnsi="Arial" w:cs="Arial"/>
                <w:sz w:val="20"/>
                <w:szCs w:val="20"/>
              </w:rPr>
              <w:t xml:space="preserve">16. Доля детей первой и второй групп здоровья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муниципальных общеобразовательных учреждениях</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8" w:name="Par272"/>
            <w:bookmarkEnd w:id="18"/>
            <w:r>
              <w:rPr>
                <w:rFonts w:ascii="Arial" w:hAnsi="Arial" w:cs="Arial"/>
                <w:sz w:val="20"/>
                <w:szCs w:val="20"/>
              </w:rPr>
              <w:t xml:space="preserve">17. Доля обучающихся в муниципальных общеобразовательных учреждениях, занимающихся во вторую (третью) смену,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муниципальных общеобразовательных учреждениях</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19" w:name="Par274"/>
            <w:bookmarkEnd w:id="19"/>
            <w:r>
              <w:rPr>
                <w:rFonts w:ascii="Arial" w:hAnsi="Arial" w:cs="Arial"/>
                <w:sz w:val="20"/>
                <w:szCs w:val="20"/>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тыс. рублей</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0" w:name="Par276"/>
            <w:bookmarkEnd w:id="20"/>
            <w:r>
              <w:rPr>
                <w:rFonts w:ascii="Arial" w:hAnsi="Arial" w:cs="Arial"/>
                <w:sz w:val="20"/>
                <w:szCs w:val="20"/>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Культура</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1" w:name="Par279"/>
            <w:bookmarkEnd w:id="21"/>
            <w:r>
              <w:rPr>
                <w:rFonts w:ascii="Arial" w:hAnsi="Arial" w:cs="Arial"/>
                <w:sz w:val="20"/>
                <w:szCs w:val="20"/>
              </w:rPr>
              <w:t>20. Уровень фактической обеспеченности учреждениями культуры от нормативной потребности:</w:t>
            </w:r>
          </w:p>
        </w:tc>
        <w:tc>
          <w:tcPr>
            <w:tcW w:w="10890" w:type="dxa"/>
            <w:gridSpan w:val="8"/>
          </w:tcPr>
          <w:p w:rsidR="00A47D80" w:rsidRDefault="00A47D80">
            <w:pPr>
              <w:autoSpaceDE w:val="0"/>
              <w:autoSpaceDN w:val="0"/>
              <w:adjustRightInd w:val="0"/>
              <w:spacing w:after="0" w:line="240" w:lineRule="auto"/>
              <w:jc w:val="both"/>
              <w:rPr>
                <w:rFonts w:ascii="Arial" w:hAnsi="Arial" w:cs="Arial"/>
                <w:sz w:val="20"/>
                <w:szCs w:val="20"/>
              </w:rPr>
            </w:pP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клубами и учреждениями клубного типа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библиотеками</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парками культуры и отдыха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2" w:name="Par287"/>
            <w:bookmarkEnd w:id="22"/>
            <w:r>
              <w:rPr>
                <w:rFonts w:ascii="Arial" w:hAnsi="Arial" w:cs="Arial"/>
                <w:sz w:val="20"/>
                <w:szCs w:val="20"/>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3" w:name="Par289"/>
            <w:bookmarkEnd w:id="23"/>
            <w:r>
              <w:rPr>
                <w:rFonts w:ascii="Arial" w:hAnsi="Arial" w:cs="Arial"/>
                <w:sz w:val="20"/>
                <w:szCs w:val="20"/>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Физическая культура и спорт</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4" w:name="Par292"/>
            <w:bookmarkEnd w:id="24"/>
            <w:r>
              <w:rPr>
                <w:rFonts w:ascii="Arial" w:hAnsi="Arial" w:cs="Arial"/>
                <w:sz w:val="20"/>
                <w:szCs w:val="20"/>
              </w:rPr>
              <w:t>23. Доля населения, систематически занимающегося физической культурой и спортом</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5" w:name="Par294"/>
            <w:bookmarkEnd w:id="25"/>
            <w:r>
              <w:rPr>
                <w:rFonts w:ascii="Arial" w:hAnsi="Arial" w:cs="Arial"/>
                <w:sz w:val="20"/>
                <w:szCs w:val="20"/>
              </w:rPr>
              <w:t xml:space="preserve">23(1). Доля </w:t>
            </w:r>
            <w:proofErr w:type="gramStart"/>
            <w:r>
              <w:rPr>
                <w:rFonts w:ascii="Arial" w:hAnsi="Arial" w:cs="Arial"/>
                <w:sz w:val="20"/>
                <w:szCs w:val="20"/>
              </w:rPr>
              <w:t>обучающихся</w:t>
            </w:r>
            <w:proofErr w:type="gramEnd"/>
            <w:r>
              <w:rPr>
                <w:rFonts w:ascii="Arial" w:hAnsi="Arial" w:cs="Arial"/>
                <w:sz w:val="20"/>
                <w:szCs w:val="20"/>
              </w:rPr>
              <w:t>, систематически занимающихся физической культурой и спортом, в общей численности обучающихся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Жилищное строительство и обеспечение граждан жильем</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6" w:name="Par297"/>
            <w:bookmarkEnd w:id="26"/>
            <w:r>
              <w:rPr>
                <w:rFonts w:ascii="Arial" w:hAnsi="Arial" w:cs="Arial"/>
                <w:sz w:val="20"/>
                <w:szCs w:val="20"/>
              </w:rPr>
              <w:t>24. Общая площадь жилых помещений, приходящаяся в среднем на одного жителя, - всего</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 метров</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в том числе </w:t>
            </w:r>
            <w:proofErr w:type="gramStart"/>
            <w:r>
              <w:rPr>
                <w:rFonts w:ascii="Arial" w:hAnsi="Arial" w:cs="Arial"/>
                <w:sz w:val="20"/>
                <w:szCs w:val="20"/>
              </w:rPr>
              <w:t>введенная</w:t>
            </w:r>
            <w:proofErr w:type="gramEnd"/>
            <w:r>
              <w:rPr>
                <w:rFonts w:ascii="Arial" w:hAnsi="Arial" w:cs="Arial"/>
                <w:sz w:val="20"/>
                <w:szCs w:val="20"/>
              </w:rPr>
              <w:t xml:space="preserve"> в действие за один год</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7" w:name="Par301"/>
            <w:bookmarkEnd w:id="27"/>
            <w:r>
              <w:rPr>
                <w:rFonts w:ascii="Arial" w:hAnsi="Arial" w:cs="Arial"/>
                <w:sz w:val="20"/>
                <w:szCs w:val="20"/>
              </w:rPr>
              <w:t>25. Площадь земельных участков, предоставленных для строительства в расчете на 10 тыс. человек населения, - всего</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гектаров</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8" w:name="Par305"/>
            <w:bookmarkEnd w:id="28"/>
            <w:r>
              <w:rPr>
                <w:rFonts w:ascii="Arial" w:hAnsi="Arial" w:cs="Arial"/>
                <w:sz w:val="20"/>
                <w:szCs w:val="20"/>
              </w:rPr>
              <w:t xml:space="preserve">26. Площадь земельных участков, предоставленных для строительства, в отношении которых </w:t>
            </w:r>
            <w:proofErr w:type="gramStart"/>
            <w:r>
              <w:rPr>
                <w:rFonts w:ascii="Arial" w:hAnsi="Arial" w:cs="Arial"/>
                <w:sz w:val="20"/>
                <w:szCs w:val="20"/>
              </w:rPr>
              <w:t>с даты принятия</w:t>
            </w:r>
            <w:proofErr w:type="gramEnd"/>
            <w:r>
              <w:rPr>
                <w:rFonts w:ascii="Arial" w:hAnsi="Arial" w:cs="Arial"/>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Pr>
          <w:p w:rsidR="00A47D80" w:rsidRDefault="00A47D80">
            <w:pPr>
              <w:autoSpaceDE w:val="0"/>
              <w:autoSpaceDN w:val="0"/>
              <w:adjustRightInd w:val="0"/>
              <w:spacing w:after="0" w:line="240" w:lineRule="auto"/>
              <w:jc w:val="both"/>
              <w:rPr>
                <w:rFonts w:ascii="Arial" w:hAnsi="Arial" w:cs="Arial"/>
                <w:sz w:val="20"/>
                <w:szCs w:val="20"/>
              </w:rPr>
            </w:pP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объектов жилищного строительства - в течение 3 лет</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 метров</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иных объектов капитального строительства - в течение 5 лет</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 метров</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Жилищно-коммунальное хозяйство</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29" w:name="Par312"/>
            <w:bookmarkEnd w:id="29"/>
            <w:r>
              <w:rPr>
                <w:rFonts w:ascii="Arial" w:hAnsi="Arial" w:cs="Arial"/>
                <w:sz w:val="20"/>
                <w:szCs w:val="2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28. Доля организаций коммунального комплекса, осуществляющих производство товаров, оказание услуг по водо-, тепл</w:t>
            </w:r>
            <w:proofErr w:type="gramStart"/>
            <w:r>
              <w:rPr>
                <w:rFonts w:ascii="Arial" w:hAnsi="Arial" w:cs="Arial"/>
                <w:sz w:val="20"/>
                <w:szCs w:val="20"/>
              </w:rPr>
              <w:t>о-</w:t>
            </w:r>
            <w:proofErr w:type="gramEnd"/>
            <w:r>
              <w:rPr>
                <w:rFonts w:ascii="Arial" w:hAnsi="Arial" w:cs="Arial"/>
                <w:sz w:val="20"/>
                <w:szCs w:val="20"/>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Arial" w:hAnsi="Arial" w:cs="Arial"/>
                <w:sz w:val="20"/>
                <w:szCs w:val="20"/>
              </w:rPr>
              <w:t>осуществляющих</w:t>
            </w:r>
            <w:proofErr w:type="gramEnd"/>
            <w:r>
              <w:rPr>
                <w:rFonts w:ascii="Arial" w:hAnsi="Arial" w:cs="Arial"/>
                <w:sz w:val="20"/>
                <w:szCs w:val="20"/>
              </w:rPr>
              <w:t xml:space="preserve"> свою деятельность на территории городского округа (муниципального 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0" w:name="Par318"/>
            <w:bookmarkEnd w:id="30"/>
            <w:r>
              <w:rPr>
                <w:rFonts w:ascii="Arial" w:hAnsi="Arial" w:cs="Arial"/>
                <w:sz w:val="20"/>
                <w:szCs w:val="20"/>
              </w:rPr>
              <w:t xml:space="preserve">30. </w:t>
            </w:r>
            <w:proofErr w:type="gramStart"/>
            <w:r>
              <w:rPr>
                <w:rFonts w:ascii="Arial" w:hAnsi="Arial" w:cs="Arial"/>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Организация муниципального управления</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1" w:name="Par321"/>
            <w:bookmarkEnd w:id="31"/>
            <w:r>
              <w:rPr>
                <w:rFonts w:ascii="Arial" w:hAnsi="Arial" w:cs="Arial"/>
                <w:sz w:val="20"/>
                <w:szCs w:val="20"/>
              </w:rPr>
              <w:t xml:space="preserve">31. Доля </w:t>
            </w:r>
            <w:proofErr w:type="gramStart"/>
            <w:r>
              <w:rPr>
                <w:rFonts w:ascii="Arial" w:hAnsi="Arial" w:cs="Arial"/>
                <w:sz w:val="20"/>
                <w:szCs w:val="20"/>
              </w:rPr>
              <w:t>налоговых</w:t>
            </w:r>
            <w:proofErr w:type="gramEnd"/>
            <w:r>
              <w:rPr>
                <w:rFonts w:ascii="Arial" w:hAnsi="Arial" w:cs="Arial"/>
                <w:sz w:val="20"/>
                <w:szCs w:val="20"/>
              </w:rPr>
              <w:t xml:space="preserve"> и неналоговых</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доходов местного бюджета (за исключением поступлений</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налоговых доходов </w:t>
            </w:r>
            <w:proofErr w:type="gramStart"/>
            <w:r>
              <w:rPr>
                <w:rFonts w:ascii="Arial" w:hAnsi="Arial" w:cs="Arial"/>
                <w:sz w:val="20"/>
                <w:szCs w:val="20"/>
              </w:rPr>
              <w:t>по</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дополнительным нормативам</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отчислений) в общем объеме</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собственных доходов бюджета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образования</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(без учета субвенций)</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2" w:name="Par330"/>
            <w:bookmarkEnd w:id="32"/>
            <w:r>
              <w:rPr>
                <w:rFonts w:ascii="Arial" w:hAnsi="Arial" w:cs="Arial"/>
                <w:sz w:val="20"/>
                <w:szCs w:val="20"/>
              </w:rPr>
              <w:t>32. Доля основных фондов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организаций </w:t>
            </w:r>
            <w:proofErr w:type="gramStart"/>
            <w:r>
              <w:rPr>
                <w:rFonts w:ascii="Arial" w:hAnsi="Arial" w:cs="Arial"/>
                <w:sz w:val="20"/>
                <w:szCs w:val="20"/>
              </w:rPr>
              <w:t>муниципальной</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формы собственности,</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находящихся</w:t>
            </w:r>
            <w:proofErr w:type="gramEnd"/>
            <w:r>
              <w:rPr>
                <w:rFonts w:ascii="Arial" w:hAnsi="Arial" w:cs="Arial"/>
                <w:sz w:val="20"/>
                <w:szCs w:val="20"/>
              </w:rPr>
              <w:t xml:space="preserve"> в стадии</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банкротства, в </w:t>
            </w:r>
            <w:proofErr w:type="gramStart"/>
            <w:r>
              <w:rPr>
                <w:rFonts w:ascii="Arial" w:hAnsi="Arial" w:cs="Arial"/>
                <w:sz w:val="20"/>
                <w:szCs w:val="20"/>
              </w:rPr>
              <w:t>основных</w:t>
            </w:r>
            <w:proofErr w:type="gramEnd"/>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фондах</w:t>
            </w:r>
            <w:proofErr w:type="gramEnd"/>
            <w:r>
              <w:rPr>
                <w:rFonts w:ascii="Arial" w:hAnsi="Arial" w:cs="Arial"/>
                <w:sz w:val="20"/>
                <w:szCs w:val="20"/>
              </w:rPr>
              <w:t xml:space="preserve"> организаций</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муниципальной формы</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собственности (на конец года</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по полной учетной стоимости)</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33. Объем не </w:t>
            </w:r>
            <w:proofErr w:type="gramStart"/>
            <w:r>
              <w:rPr>
                <w:rFonts w:ascii="Arial" w:hAnsi="Arial" w:cs="Arial"/>
                <w:sz w:val="20"/>
                <w:szCs w:val="20"/>
              </w:rPr>
              <w:t>завершенного</w:t>
            </w:r>
            <w:proofErr w:type="gramEnd"/>
            <w:r>
              <w:rPr>
                <w:rFonts w:ascii="Arial" w:hAnsi="Arial" w:cs="Arial"/>
                <w:sz w:val="20"/>
                <w:szCs w:val="20"/>
              </w:rPr>
              <w:t xml:space="preserve"> 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установленные сроки</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строительства,</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осуществляемого</w:t>
            </w:r>
            <w:proofErr w:type="gramEnd"/>
            <w:r>
              <w:rPr>
                <w:rFonts w:ascii="Arial" w:hAnsi="Arial" w:cs="Arial"/>
                <w:sz w:val="20"/>
                <w:szCs w:val="20"/>
              </w:rPr>
              <w:t xml:space="preserve"> за счет</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 бюджета городского</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округа (муниципального</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тыс. рублей</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3" w:name="Par348"/>
            <w:bookmarkEnd w:id="33"/>
            <w:r>
              <w:rPr>
                <w:rFonts w:ascii="Arial" w:hAnsi="Arial" w:cs="Arial"/>
                <w:sz w:val="20"/>
                <w:szCs w:val="20"/>
              </w:rPr>
              <w:t xml:space="preserve">34. Доля </w:t>
            </w:r>
            <w:proofErr w:type="gramStart"/>
            <w:r>
              <w:rPr>
                <w:rFonts w:ascii="Arial" w:hAnsi="Arial" w:cs="Arial"/>
                <w:sz w:val="20"/>
                <w:szCs w:val="20"/>
              </w:rPr>
              <w:t>просроченной</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кредиторской задолженности</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 оплате труда (включая</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начисления на оплату труда)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муниципальных учреждений </w:t>
            </w:r>
            <w:proofErr w:type="gramStart"/>
            <w:r>
              <w:rPr>
                <w:rFonts w:ascii="Arial" w:hAnsi="Arial" w:cs="Arial"/>
                <w:sz w:val="20"/>
                <w:szCs w:val="20"/>
              </w:rPr>
              <w:t>в</w:t>
            </w:r>
            <w:proofErr w:type="gramEnd"/>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общем</w:t>
            </w:r>
            <w:proofErr w:type="gramEnd"/>
            <w:r>
              <w:rPr>
                <w:rFonts w:ascii="Arial" w:hAnsi="Arial" w:cs="Arial"/>
                <w:sz w:val="20"/>
                <w:szCs w:val="20"/>
              </w:rPr>
              <w:t xml:space="preserve"> объеме расходов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образования</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на оплату труда (включая</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начисления на оплату труда)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4" w:name="Par358"/>
            <w:bookmarkEnd w:id="34"/>
            <w:r>
              <w:rPr>
                <w:rFonts w:ascii="Arial" w:hAnsi="Arial" w:cs="Arial"/>
                <w:sz w:val="20"/>
                <w:szCs w:val="20"/>
              </w:rPr>
              <w:t>35. Расходы бюджета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образования</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 содержание работников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органов местного</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самоуправления в расчете </w:t>
            </w:r>
            <w:proofErr w:type="gramStart"/>
            <w:r>
              <w:rPr>
                <w:rFonts w:ascii="Arial" w:hAnsi="Arial" w:cs="Arial"/>
                <w:sz w:val="20"/>
                <w:szCs w:val="20"/>
              </w:rPr>
              <w:t>на</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одного жителя муниципального образования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рублей</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5" w:name="Par365"/>
            <w:bookmarkEnd w:id="35"/>
            <w:r>
              <w:rPr>
                <w:rFonts w:ascii="Arial" w:hAnsi="Arial" w:cs="Arial"/>
                <w:sz w:val="20"/>
                <w:szCs w:val="20"/>
              </w:rPr>
              <w:t>36. Наличие в городском округе</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(муниципальном </w:t>
            </w:r>
            <w:proofErr w:type="gramStart"/>
            <w:r>
              <w:rPr>
                <w:rFonts w:ascii="Arial" w:hAnsi="Arial" w:cs="Arial"/>
                <w:sz w:val="20"/>
                <w:szCs w:val="20"/>
              </w:rPr>
              <w:t>районе</w:t>
            </w:r>
            <w:proofErr w:type="gramEnd"/>
            <w:r>
              <w:rPr>
                <w:rFonts w:ascii="Arial" w:hAnsi="Arial" w:cs="Arial"/>
                <w:sz w:val="20"/>
                <w:szCs w:val="20"/>
              </w:rPr>
              <w:t>)</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утвержденного генерального</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плана городского округа</w:t>
            </w:r>
          </w:p>
          <w:p w:rsidR="00A47D80" w:rsidRDefault="00A47D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(схемы территориального</w:t>
            </w:r>
            <w:proofErr w:type="gramEnd"/>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планирования муниципального</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да/нет</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6" w:name="Par373"/>
            <w:bookmarkEnd w:id="36"/>
            <w:r>
              <w:rPr>
                <w:rFonts w:ascii="Arial" w:hAnsi="Arial" w:cs="Arial"/>
                <w:sz w:val="20"/>
                <w:szCs w:val="20"/>
              </w:rPr>
              <w:t>37. Удовлетворенность населения</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деятельностью органов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местного самоуправления</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городского округа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района)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от числа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опрошенных</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7" w:name="Par381"/>
            <w:bookmarkEnd w:id="37"/>
            <w:r>
              <w:rPr>
                <w:rFonts w:ascii="Arial" w:hAnsi="Arial" w:cs="Arial"/>
                <w:sz w:val="20"/>
                <w:szCs w:val="20"/>
              </w:rPr>
              <w:t>38. Среднегодовая численность</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постоянного населения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тыс.</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человек</w:t>
            </w:r>
          </w:p>
        </w:tc>
      </w:tr>
      <w:tr w:rsidR="00A47D80">
        <w:tc>
          <w:tcPr>
            <w:tcW w:w="16830" w:type="dxa"/>
            <w:gridSpan w:val="9"/>
          </w:tcPr>
          <w:p w:rsidR="00A47D80" w:rsidRDefault="00A47D8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Энергосбережение и повышение энергетической эффективности</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8" w:name="Par386"/>
            <w:bookmarkEnd w:id="38"/>
            <w:r>
              <w:rPr>
                <w:rFonts w:ascii="Arial" w:hAnsi="Arial" w:cs="Arial"/>
                <w:sz w:val="20"/>
                <w:szCs w:val="20"/>
              </w:rPr>
              <w:lastRenderedPageBreak/>
              <w:t>39. Удельная величина потребления энергетических ресурсов в многоквартирных домах:</w:t>
            </w:r>
          </w:p>
        </w:tc>
        <w:tc>
          <w:tcPr>
            <w:tcW w:w="10890" w:type="dxa"/>
            <w:gridSpan w:val="8"/>
          </w:tcPr>
          <w:p w:rsidR="00A47D80" w:rsidRDefault="00A47D80">
            <w:pPr>
              <w:autoSpaceDE w:val="0"/>
              <w:autoSpaceDN w:val="0"/>
              <w:adjustRightInd w:val="0"/>
              <w:spacing w:after="0" w:line="240" w:lineRule="auto"/>
              <w:jc w:val="both"/>
              <w:rPr>
                <w:rFonts w:ascii="Arial" w:hAnsi="Arial" w:cs="Arial"/>
                <w:sz w:val="20"/>
                <w:szCs w:val="20"/>
              </w:rPr>
            </w:pP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электрическая энергия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кВт/</w:t>
            </w:r>
            <w:proofErr w:type="gramStart"/>
            <w:r>
              <w:rPr>
                <w:rFonts w:ascii="Arial" w:hAnsi="Arial" w:cs="Arial"/>
                <w:sz w:val="20"/>
                <w:szCs w:val="20"/>
              </w:rPr>
              <w:t>ч</w:t>
            </w:r>
            <w:proofErr w:type="gramEnd"/>
            <w:r>
              <w:rPr>
                <w:rFonts w:ascii="Arial" w:hAnsi="Arial" w:cs="Arial"/>
                <w:sz w:val="20"/>
                <w:szCs w:val="20"/>
              </w:rPr>
              <w:t xml:space="preserve"> 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тепловая энергия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Гкал 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 метр</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общей</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площади</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горячая вода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куб. метров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проживающего</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холодная вода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природный газ</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Pr>
          <w:p w:rsidR="00A47D80" w:rsidRDefault="00A47D80">
            <w:pPr>
              <w:autoSpaceDE w:val="0"/>
              <w:autoSpaceDN w:val="0"/>
              <w:adjustRightInd w:val="0"/>
              <w:spacing w:after="0" w:line="240" w:lineRule="auto"/>
              <w:rPr>
                <w:rFonts w:ascii="Arial" w:hAnsi="Arial" w:cs="Arial"/>
                <w:sz w:val="20"/>
                <w:szCs w:val="20"/>
              </w:rPr>
            </w:pPr>
            <w:bookmarkStart w:id="39" w:name="Par404"/>
            <w:bookmarkEnd w:id="39"/>
            <w:r>
              <w:rPr>
                <w:rFonts w:ascii="Arial" w:hAnsi="Arial" w:cs="Arial"/>
                <w:sz w:val="20"/>
                <w:szCs w:val="20"/>
              </w:rPr>
              <w:t>40. Удельная величина потребления энергетических ресурсов муниципальными бюджетными учреждениями:</w:t>
            </w:r>
          </w:p>
        </w:tc>
        <w:tc>
          <w:tcPr>
            <w:tcW w:w="10890" w:type="dxa"/>
            <w:gridSpan w:val="8"/>
          </w:tcPr>
          <w:p w:rsidR="00A47D80" w:rsidRDefault="00A47D80">
            <w:pPr>
              <w:autoSpaceDE w:val="0"/>
              <w:autoSpaceDN w:val="0"/>
              <w:adjustRightInd w:val="0"/>
              <w:spacing w:after="0" w:line="240" w:lineRule="auto"/>
              <w:jc w:val="both"/>
              <w:rPr>
                <w:rFonts w:ascii="Arial" w:hAnsi="Arial" w:cs="Arial"/>
                <w:sz w:val="20"/>
                <w:szCs w:val="20"/>
              </w:rPr>
            </w:pP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электрическая энергия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кВт/</w:t>
            </w:r>
            <w:proofErr w:type="gramStart"/>
            <w:r>
              <w:rPr>
                <w:rFonts w:ascii="Arial" w:hAnsi="Arial" w:cs="Arial"/>
                <w:sz w:val="20"/>
                <w:szCs w:val="20"/>
              </w:rPr>
              <w:t>ч</w:t>
            </w:r>
            <w:proofErr w:type="gramEnd"/>
            <w:r>
              <w:rPr>
                <w:rFonts w:ascii="Arial" w:hAnsi="Arial" w:cs="Arial"/>
                <w:sz w:val="20"/>
                <w:szCs w:val="20"/>
              </w:rPr>
              <w:t xml:space="preserve"> 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человека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населения</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тепловая энергия</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Гкал 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кв. метр</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общей</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площади</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горячая вода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куб. метров</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 1</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человека</w:t>
            </w:r>
          </w:p>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населения</w:t>
            </w:r>
          </w:p>
        </w:tc>
      </w:tr>
      <w:tr w:rsidR="00A47D80">
        <w:tc>
          <w:tcPr>
            <w:tcW w:w="5940" w:type="dxa"/>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холодная вода</w:t>
            </w:r>
          </w:p>
        </w:tc>
        <w:tc>
          <w:tcPr>
            <w:tcW w:w="10890" w:type="dxa"/>
            <w:gridSpan w:val="8"/>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A47D80">
        <w:tc>
          <w:tcPr>
            <w:tcW w:w="5940" w:type="dxa"/>
            <w:tcBorders>
              <w:bottom w:val="single" w:sz="4" w:space="0" w:color="auto"/>
            </w:tcBorders>
          </w:tcPr>
          <w:p w:rsidR="00A47D80" w:rsidRDefault="00A47D8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природный газ</w:t>
            </w:r>
          </w:p>
        </w:tc>
        <w:tc>
          <w:tcPr>
            <w:tcW w:w="10890" w:type="dxa"/>
            <w:gridSpan w:val="8"/>
            <w:tcBorders>
              <w:bottom w:val="single" w:sz="4" w:space="0" w:color="auto"/>
            </w:tcBorders>
          </w:tcPr>
          <w:p w:rsidR="00A47D80" w:rsidRDefault="00A47D8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bl>
    <w:p w:rsidR="00A47D80" w:rsidRDefault="00A47D80" w:rsidP="00A47D80">
      <w:pPr>
        <w:autoSpaceDE w:val="0"/>
        <w:autoSpaceDN w:val="0"/>
        <w:adjustRightInd w:val="0"/>
        <w:spacing w:after="0" w:line="240" w:lineRule="auto"/>
        <w:jc w:val="both"/>
        <w:rPr>
          <w:rFonts w:ascii="Arial" w:hAnsi="Arial" w:cs="Arial"/>
          <w:sz w:val="20"/>
          <w:szCs w:val="20"/>
        </w:rPr>
        <w:sectPr w:rsidR="00A47D80">
          <w:pgSz w:w="16838" w:h="11906" w:orient="landscape"/>
          <w:pgMar w:top="1133" w:right="1440" w:bottom="566" w:left="1440" w:header="0" w:footer="0" w:gutter="0"/>
          <w:cols w:space="720"/>
          <w:noEndnote/>
        </w:sectPr>
      </w:pPr>
    </w:p>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Текстовая часть</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 1. Содержание текстовой части доклада устанавливается субъектом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каждому показателю приводятся: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фактические значения за год, предшествующий отчетному году;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фактические значения за год, предшествующий на 2 года отчетному году;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фактические значения за отчетный год;</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планируемые значения на 3-летний период.</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rPr>
          <w:rFonts w:ascii="Arial" w:hAnsi="Arial" w:cs="Arial"/>
          <w:sz w:val="20"/>
          <w:szCs w:val="20"/>
        </w:rP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N - отчетный год.</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0" w:name="Par447"/>
      <w:bookmarkEnd w:id="40"/>
      <w:r>
        <w:rPr>
          <w:rFonts w:ascii="Arial" w:eastAsiaTheme="minorHAnsi" w:hAnsi="Arial" w:cs="Arial"/>
          <w:color w:val="auto"/>
          <w:sz w:val="20"/>
          <w:szCs w:val="20"/>
        </w:rPr>
        <w:t>МЕТОДИЧЕСКИЕ РЕКОМЕНДАЦИИ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ВЫДЕЛЕНИИ ЗА СЧЕТ БЮДЖЕТНЫХ АССИГНОВАНИЙ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БЮДЖЕТА СУБЪЕКТА РОССИЙСКОЙ ФЕДЕРАЦИИ ГРАНТОВ</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МУНИЦИПАЛЬНЫМ ОБРАЗОВАНИЯМ В ЦЕЛЯХ СОДЕЙСТВИЯ ДОСТИЖЕНИЮ</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ПООЩРЕНИЯ ДОСТИЖЕНИЯ НАИЛУЧШИХ ЗНАЧЕНИЙ ПОКАЗАТЕЛЕЙ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ОРГАНОВ МЕСТНОГО САМОУПРАВЛЕНИЯ ГОРОДСКИХ</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ОКРУГОВ И МУНИЦИПАЛЬНЫХ РАЙОНОВ</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09.07.2016 N 654)</w:t>
            </w:r>
          </w:p>
        </w:tc>
      </w:tr>
    </w:tbl>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rPr>
          <w:rFonts w:ascii="Arial" w:hAnsi="Arial" w:cs="Arial"/>
          <w:sz w:val="20"/>
          <w:szCs w:val="20"/>
        </w:rPr>
        <w:t>значений показателей деятельности органов местного самоуправления городских округов</w:t>
      </w:r>
      <w:proofErr w:type="gramEnd"/>
      <w:r>
        <w:rPr>
          <w:rFonts w:ascii="Arial" w:hAnsi="Arial" w:cs="Arial"/>
          <w:sz w:val="20"/>
          <w:szCs w:val="20"/>
        </w:rPr>
        <w:t xml:space="preserve"> и </w:t>
      </w:r>
      <w:r>
        <w:rPr>
          <w:rFonts w:ascii="Arial" w:hAnsi="Arial" w:cs="Arial"/>
          <w:sz w:val="20"/>
          <w:szCs w:val="20"/>
        </w:rPr>
        <w:lastRenderedPageBreak/>
        <w:t>муниципальных районов (далее соответственно - гранты, органы местного самоуправления, муниципальные образования).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Гранты выделяются в форме межбюджетных трансфертов из бюджета субъекта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выделении грантов оцениваются значения </w:t>
      </w:r>
      <w:hyperlink r:id="rId29" w:history="1">
        <w:r>
          <w:rPr>
            <w:rFonts w:ascii="Arial" w:hAnsi="Arial" w:cs="Arial"/>
            <w:color w:val="0000FF"/>
            <w:sz w:val="20"/>
            <w:szCs w:val="20"/>
          </w:rPr>
          <w:t>показателей</w:t>
        </w:r>
      </w:hyperlink>
      <w:r>
        <w:rPr>
          <w:rFonts w:ascii="Arial" w:hAnsi="Arial" w:cs="Arial"/>
          <w:sz w:val="20"/>
          <w:szCs w:val="20"/>
        </w:rPr>
        <w:t xml:space="preserve">, предусмотренных Указом Президента Российской Федерации от 28 апреля 2008 г. N 607, дополнительных </w:t>
      </w:r>
      <w:hyperlink w:anchor="Par51" w:history="1">
        <w:r>
          <w:rPr>
            <w:rFonts w:ascii="Arial" w:hAnsi="Arial" w:cs="Arial"/>
            <w:color w:val="0000FF"/>
            <w:sz w:val="20"/>
            <w:szCs w:val="20"/>
          </w:rPr>
          <w:t>показателей</w:t>
        </w:r>
      </w:hyperlink>
      <w:r>
        <w:rPr>
          <w:rFonts w:ascii="Arial" w:hAnsi="Arial" w:cs="Arial"/>
          <w:sz w:val="20"/>
          <w:szCs w:val="20"/>
        </w:rPr>
        <w:t xml:space="preserve"> для оценки </w:t>
      </w:r>
      <w:proofErr w:type="gramStart"/>
      <w:r>
        <w:rPr>
          <w:rFonts w:ascii="Arial" w:hAnsi="Arial" w:cs="Arial"/>
          <w:sz w:val="20"/>
          <w:szCs w:val="20"/>
        </w:rPr>
        <w:t>эффективности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показателей, используемых для определения размера грантов, определяется субъектом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bookmarkStart w:id="41" w:name="Par464"/>
      <w:bookmarkEnd w:id="41"/>
      <w:r>
        <w:rPr>
          <w:rFonts w:ascii="Arial" w:hAnsi="Arial" w:cs="Arial"/>
          <w:sz w:val="20"/>
          <w:szCs w:val="20"/>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целесообразно заключить, если достижению более высоких значений </w:t>
      </w:r>
      <w:proofErr w:type="gramStart"/>
      <w:r>
        <w:rPr>
          <w:rFonts w:ascii="Arial" w:hAnsi="Arial" w:cs="Arial"/>
          <w:sz w:val="20"/>
          <w:szCs w:val="20"/>
        </w:rPr>
        <w:t>показателей эффективности деятельности органов местного самоуправления</w:t>
      </w:r>
      <w:proofErr w:type="gramEnd"/>
      <w:r>
        <w:rPr>
          <w:rFonts w:ascii="Arial" w:hAnsi="Arial" w:cs="Arial"/>
          <w:sz w:val="20"/>
          <w:szCs w:val="20"/>
        </w:rPr>
        <w:t xml:space="preserve"> препятствуют объективные факторы, которые могут быть устранены путем </w:t>
      </w:r>
      <w:proofErr w:type="spellStart"/>
      <w:r>
        <w:rPr>
          <w:rFonts w:ascii="Arial" w:hAnsi="Arial" w:cs="Arial"/>
          <w:sz w:val="20"/>
          <w:szCs w:val="20"/>
        </w:rPr>
        <w:t>софинансирования</w:t>
      </w:r>
      <w:proofErr w:type="spellEnd"/>
      <w:r>
        <w:rPr>
          <w:rFonts w:ascii="Arial" w:hAnsi="Arial" w:cs="Arial"/>
          <w:sz w:val="20"/>
          <w:szCs w:val="20"/>
        </w:rP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rPr>
          <w:rFonts w:ascii="Arial" w:hAnsi="Arial" w:cs="Arial"/>
          <w:sz w:val="20"/>
          <w:szCs w:val="20"/>
        </w:rPr>
        <w:t>дств гр</w:t>
      </w:r>
      <w:proofErr w:type="gramEnd"/>
      <w:r>
        <w:rPr>
          <w:rFonts w:ascii="Arial" w:hAnsi="Arial" w:cs="Arial"/>
          <w:sz w:val="20"/>
          <w:szCs w:val="20"/>
        </w:rPr>
        <w:t>анта. Соглашение заключается на срок до 3 лет.</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Оценка эффективности деятельности органов</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Комплексная оценка эффективности деятельности органов местного самоуправления определяется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2886075" cy="38989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6075" cy="389890"/>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Ип</w:t>
      </w:r>
      <w:proofErr w:type="gramStart"/>
      <w:r>
        <w:rPr>
          <w:rFonts w:ascii="Arial" w:hAnsi="Arial" w:cs="Arial"/>
          <w:sz w:val="20"/>
          <w:szCs w:val="20"/>
        </w:rPr>
        <w:t>n</w:t>
      </w:r>
      <w:proofErr w:type="spellEnd"/>
      <w:proofErr w:type="gramEnd"/>
      <w:r>
        <w:rPr>
          <w:rFonts w:ascii="Arial" w:hAnsi="Arial" w:cs="Arial"/>
          <w:sz w:val="20"/>
          <w:szCs w:val="20"/>
        </w:rPr>
        <w:t xml:space="preserve"> - сводный индекс значения показателя эффективности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Ипс</w:t>
      </w:r>
      <w:proofErr w:type="spellEnd"/>
      <w:r>
        <w:rPr>
          <w:rFonts w:ascii="Arial" w:hAnsi="Arial" w:cs="Arial"/>
          <w:sz w:val="20"/>
          <w:szCs w:val="20"/>
        </w:rPr>
        <w:t xml:space="preserve"> - сводный индекс значения показателя - оценки населением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Сводный индекс (</w:t>
      </w:r>
      <w:proofErr w:type="spellStart"/>
      <w:r>
        <w:rPr>
          <w:rFonts w:ascii="Arial" w:hAnsi="Arial" w:cs="Arial"/>
          <w:sz w:val="20"/>
          <w:szCs w:val="20"/>
        </w:rPr>
        <w:t>Ип</w:t>
      </w:r>
      <w:proofErr w:type="spellEnd"/>
      <w:r>
        <w:rPr>
          <w:rFonts w:ascii="Arial" w:hAnsi="Arial" w:cs="Arial"/>
          <w:sz w:val="20"/>
          <w:szCs w:val="20"/>
        </w:rPr>
        <w:t>) показателя эффективности деятельности органов местного самоуправления определяется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685925" cy="19113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19113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Ист</w:t>
      </w:r>
      <w:proofErr w:type="spellEnd"/>
      <w:proofErr w:type="gramEnd"/>
      <w:r>
        <w:rPr>
          <w:rFonts w:ascii="Arial" w:hAnsi="Arial" w:cs="Arial"/>
          <w:sz w:val="20"/>
          <w:szCs w:val="20"/>
        </w:rPr>
        <w:t xml:space="preserve"> - индекс среднего темпа роста показателя эффективности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Исо</w:t>
      </w:r>
      <w:proofErr w:type="spellEnd"/>
      <w:r>
        <w:rPr>
          <w:rFonts w:ascii="Arial" w:hAnsi="Arial" w:cs="Arial"/>
          <w:sz w:val="20"/>
          <w:szCs w:val="20"/>
        </w:rPr>
        <w:t xml:space="preserve"> - индекс среднего </w:t>
      </w:r>
      <w:proofErr w:type="gramStart"/>
      <w:r>
        <w:rPr>
          <w:rFonts w:ascii="Arial" w:hAnsi="Arial" w:cs="Arial"/>
          <w:sz w:val="20"/>
          <w:szCs w:val="20"/>
        </w:rPr>
        <w:t>объема показателя эффективности деятельности органов местного самоуправления</w:t>
      </w:r>
      <w:proofErr w:type="gramEnd"/>
      <w:r>
        <w:rPr>
          <w:rFonts w:ascii="Arial" w:hAnsi="Arial" w:cs="Arial"/>
          <w:sz w:val="20"/>
          <w:szCs w:val="20"/>
        </w:rPr>
        <w:t>.</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Индекс среднего темпа роста показателя эффективности деятельности органов местного самоуправления (</w:t>
      </w:r>
      <w:proofErr w:type="spellStart"/>
      <w:proofErr w:type="gramStart"/>
      <w:r>
        <w:rPr>
          <w:rFonts w:ascii="Arial" w:hAnsi="Arial" w:cs="Arial"/>
          <w:sz w:val="20"/>
          <w:szCs w:val="20"/>
        </w:rPr>
        <w:t>Ист</w:t>
      </w:r>
      <w:proofErr w:type="spellEnd"/>
      <w:proofErr w:type="gramEnd"/>
      <w:r>
        <w:rPr>
          <w:rFonts w:ascii="Arial" w:hAnsi="Arial" w:cs="Arial"/>
          <w:sz w:val="20"/>
          <w:szCs w:val="20"/>
        </w:rPr>
        <w:t>) определяется: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индекса показателя, большее значение которого отражает большую эффективность, -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781175" cy="222885"/>
            <wp:effectExtent l="0" t="0" r="952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1175" cy="22288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 - значение среднего </w:t>
      </w:r>
      <w:proofErr w:type="gramStart"/>
      <w:r>
        <w:rPr>
          <w:rFonts w:ascii="Arial" w:hAnsi="Arial" w:cs="Arial"/>
          <w:sz w:val="20"/>
          <w:szCs w:val="20"/>
        </w:rPr>
        <w:t>темпа роста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09880" cy="2228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9880" cy="222885"/>
                    </a:xfrm>
                    <a:prstGeom prst="rect">
                      <a:avLst/>
                    </a:prstGeom>
                    <a:noFill/>
                    <a:ln>
                      <a:noFill/>
                    </a:ln>
                  </pic:spPr>
                </pic:pic>
              </a:graphicData>
            </a:graphic>
          </wp:inline>
        </w:drawing>
      </w:r>
      <w:r>
        <w:rPr>
          <w:rFonts w:ascii="Arial" w:hAnsi="Arial" w:cs="Arial"/>
          <w:sz w:val="20"/>
          <w:szCs w:val="20"/>
        </w:rPr>
        <w:t xml:space="preserve"> - минимальное значение среднего </w:t>
      </w:r>
      <w:proofErr w:type="gramStart"/>
      <w:r>
        <w:rPr>
          <w:rFonts w:ascii="Arial" w:hAnsi="Arial" w:cs="Arial"/>
          <w:sz w:val="20"/>
          <w:szCs w:val="20"/>
        </w:rPr>
        <w:t>темпа роста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34010" cy="222885"/>
            <wp:effectExtent l="0" t="0" r="889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Pr>
          <w:rFonts w:ascii="Arial" w:hAnsi="Arial" w:cs="Arial"/>
          <w:sz w:val="20"/>
          <w:szCs w:val="20"/>
        </w:rPr>
        <w:t xml:space="preserve"> - максимальное значение среднего </w:t>
      </w:r>
      <w:proofErr w:type="gramStart"/>
      <w:r>
        <w:rPr>
          <w:rFonts w:ascii="Arial" w:hAnsi="Arial" w:cs="Arial"/>
          <w:sz w:val="20"/>
          <w:szCs w:val="20"/>
        </w:rPr>
        <w:t>темпа роста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индекса показателя, большее значение которого отражает меньшую эффективность, -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939925" cy="222885"/>
            <wp:effectExtent l="0" t="0" r="317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39925" cy="22288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Индекс среднего </w:t>
      </w:r>
      <w:proofErr w:type="gramStart"/>
      <w:r>
        <w:rPr>
          <w:rFonts w:ascii="Arial" w:hAnsi="Arial" w:cs="Arial"/>
          <w:sz w:val="20"/>
          <w:szCs w:val="20"/>
        </w:rPr>
        <w:t>объема показателя эффективности деятельности органов местного</w:t>
      </w:r>
      <w:proofErr w:type="gramEnd"/>
      <w:r>
        <w:rPr>
          <w:rFonts w:ascii="Arial" w:hAnsi="Arial" w:cs="Arial"/>
          <w:sz w:val="20"/>
          <w:szCs w:val="20"/>
        </w:rPr>
        <w:t xml:space="preserve"> самоуправления (</w:t>
      </w:r>
      <w:proofErr w:type="spellStart"/>
      <w:r>
        <w:rPr>
          <w:rFonts w:ascii="Arial" w:hAnsi="Arial" w:cs="Arial"/>
          <w:sz w:val="20"/>
          <w:szCs w:val="20"/>
        </w:rPr>
        <w:t>Исо</w:t>
      </w:r>
      <w:proofErr w:type="spellEnd"/>
      <w:r>
        <w:rPr>
          <w:rFonts w:ascii="Arial" w:hAnsi="Arial" w:cs="Arial"/>
          <w:sz w:val="20"/>
          <w:szCs w:val="20"/>
        </w:rPr>
        <w:t>) определяется: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индекса показателя, большее значение которого отражает большую эффективность, -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2011680" cy="222885"/>
            <wp:effectExtent l="0" t="0" r="762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11680" cy="22288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 значение среднего </w:t>
      </w:r>
      <w:proofErr w:type="gramStart"/>
      <w:r>
        <w:rPr>
          <w:rFonts w:ascii="Arial" w:hAnsi="Arial" w:cs="Arial"/>
          <w:sz w:val="20"/>
          <w:szCs w:val="20"/>
        </w:rPr>
        <w:t>объема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18135" cy="222885"/>
            <wp:effectExtent l="0" t="0" r="571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Pr>
          <w:rFonts w:ascii="Arial" w:hAnsi="Arial" w:cs="Arial"/>
          <w:sz w:val="20"/>
          <w:szCs w:val="20"/>
        </w:rPr>
        <w:t xml:space="preserve"> - минимальное значение среднего </w:t>
      </w:r>
      <w:proofErr w:type="gramStart"/>
      <w:r>
        <w:rPr>
          <w:rFonts w:ascii="Arial" w:hAnsi="Arial" w:cs="Arial"/>
          <w:sz w:val="20"/>
          <w:szCs w:val="20"/>
        </w:rPr>
        <w:t>объема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41630" cy="222885"/>
            <wp:effectExtent l="0" t="0" r="127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1630" cy="222885"/>
                    </a:xfrm>
                    <a:prstGeom prst="rect">
                      <a:avLst/>
                    </a:prstGeom>
                    <a:noFill/>
                    <a:ln>
                      <a:noFill/>
                    </a:ln>
                  </pic:spPr>
                </pic:pic>
              </a:graphicData>
            </a:graphic>
          </wp:inline>
        </w:drawing>
      </w:r>
      <w:r>
        <w:rPr>
          <w:rFonts w:ascii="Arial" w:hAnsi="Arial" w:cs="Arial"/>
          <w:sz w:val="20"/>
          <w:szCs w:val="20"/>
        </w:rPr>
        <w:t xml:space="preserve"> - максимальное значение среднего </w:t>
      </w:r>
      <w:proofErr w:type="gramStart"/>
      <w:r>
        <w:rPr>
          <w:rFonts w:ascii="Arial" w:hAnsi="Arial" w:cs="Arial"/>
          <w:sz w:val="20"/>
          <w:szCs w:val="20"/>
        </w:rPr>
        <w:t>объема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индекса показателя, большее значение которого отражает меньшую эффективность, -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lastRenderedPageBreak/>
        <w:drawing>
          <wp:inline distT="0" distB="0" distL="0" distR="0">
            <wp:extent cx="1995805" cy="222885"/>
            <wp:effectExtent l="0" t="0" r="444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5805" cy="22288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Средний темп </w:t>
      </w:r>
      <w:proofErr w:type="gramStart"/>
      <w:r>
        <w:rPr>
          <w:rFonts w:ascii="Arial" w:hAnsi="Arial" w:cs="Arial"/>
          <w:sz w:val="20"/>
          <w:szCs w:val="20"/>
        </w:rPr>
        <w:t>роста показателей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 определяется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1510665" cy="516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10665" cy="516890"/>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198755" cy="24638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Pr>
          <w:rFonts w:ascii="Arial" w:hAnsi="Arial" w:cs="Arial"/>
          <w:sz w:val="20"/>
          <w:szCs w:val="20"/>
        </w:rPr>
        <w:t xml:space="preserve"> - значение </w:t>
      </w:r>
      <w:proofErr w:type="gramStart"/>
      <w:r>
        <w:rPr>
          <w:rFonts w:ascii="Arial" w:hAnsi="Arial" w:cs="Arial"/>
          <w:sz w:val="20"/>
          <w:szCs w:val="20"/>
        </w:rPr>
        <w:t>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период;</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86385" cy="2463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Pr>
          <w:rFonts w:ascii="Arial" w:hAnsi="Arial" w:cs="Arial"/>
          <w:sz w:val="20"/>
          <w:szCs w:val="20"/>
        </w:rPr>
        <w:t xml:space="preserve"> - значение </w:t>
      </w:r>
      <w:proofErr w:type="gramStart"/>
      <w:r>
        <w:rPr>
          <w:rFonts w:ascii="Arial" w:hAnsi="Arial" w:cs="Arial"/>
          <w:sz w:val="20"/>
          <w:szCs w:val="20"/>
        </w:rPr>
        <w:t>показателя эффективности деятельности органов местного самоуправления</w:t>
      </w:r>
      <w:proofErr w:type="gramEnd"/>
      <w:r>
        <w:rPr>
          <w:rFonts w:ascii="Arial" w:hAnsi="Arial" w:cs="Arial"/>
          <w:sz w:val="20"/>
          <w:szCs w:val="20"/>
        </w:rPr>
        <w:t xml:space="preserve"> за год, предшествующий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86385" cy="2463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Pr>
          <w:rFonts w:ascii="Arial" w:hAnsi="Arial" w:cs="Arial"/>
          <w:sz w:val="20"/>
          <w:szCs w:val="20"/>
        </w:rPr>
        <w:t xml:space="preserve"> - значение </w:t>
      </w:r>
      <w:proofErr w:type="gramStart"/>
      <w:r>
        <w:rPr>
          <w:rFonts w:ascii="Arial" w:hAnsi="Arial" w:cs="Arial"/>
          <w:sz w:val="20"/>
          <w:szCs w:val="20"/>
        </w:rPr>
        <w:t>показателя эффективности деятельности органов местного самоуправления</w:t>
      </w:r>
      <w:proofErr w:type="gramEnd"/>
      <w:r>
        <w:rPr>
          <w:rFonts w:ascii="Arial" w:hAnsi="Arial" w:cs="Arial"/>
          <w:sz w:val="20"/>
          <w:szCs w:val="20"/>
        </w:rPr>
        <w:t xml:space="preserve"> за год, предшествующий на 2 года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86385" cy="246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Pr>
          <w:rFonts w:ascii="Arial" w:hAnsi="Arial" w:cs="Arial"/>
          <w:sz w:val="20"/>
          <w:szCs w:val="20"/>
        </w:rPr>
        <w:t xml:space="preserve"> - значение </w:t>
      </w:r>
      <w:proofErr w:type="gramStart"/>
      <w:r>
        <w:rPr>
          <w:rFonts w:ascii="Arial" w:hAnsi="Arial" w:cs="Arial"/>
          <w:sz w:val="20"/>
          <w:szCs w:val="20"/>
        </w:rPr>
        <w:t>показателя эффективности деятельности органов местного самоуправления</w:t>
      </w:r>
      <w:proofErr w:type="gramEnd"/>
      <w:r>
        <w:rPr>
          <w:rFonts w:ascii="Arial" w:hAnsi="Arial" w:cs="Arial"/>
          <w:sz w:val="20"/>
          <w:szCs w:val="20"/>
        </w:rPr>
        <w:t xml:space="preserve"> за год, предшествующий на 3 года отчетному.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Значение среднего </w:t>
      </w:r>
      <w:proofErr w:type="gramStart"/>
      <w:r>
        <w:rPr>
          <w:rFonts w:ascii="Arial" w:hAnsi="Arial" w:cs="Arial"/>
          <w:sz w:val="20"/>
          <w:szCs w:val="20"/>
        </w:rPr>
        <w:t>объема показателя эффективности деятельности органов местного самоуправления</w:t>
      </w:r>
      <w:proofErr w:type="gramEnd"/>
      <w:r>
        <w:rPr>
          <w:rFonts w:ascii="Arial" w:hAnsi="Arial" w:cs="Arial"/>
          <w:sz w:val="20"/>
          <w:szCs w:val="20"/>
        </w:rPr>
        <w:t xml:space="preserve"> за отчетный год и 2 года, предшествующие отчетному, определяется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1271905" cy="42164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71905" cy="421640"/>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rPr>
          <w:rFonts w:ascii="Arial" w:hAnsi="Arial" w:cs="Arial"/>
          <w:sz w:val="20"/>
          <w:szCs w:val="20"/>
        </w:rPr>
        <w:t>показателя эффективности деятельности органов местного самоуправления</w:t>
      </w:r>
      <w:proofErr w:type="gramEnd"/>
      <w:r>
        <w:rPr>
          <w:rFonts w:ascii="Arial" w:hAnsi="Arial" w:cs="Arial"/>
          <w:sz w:val="20"/>
          <w:szCs w:val="20"/>
        </w:rPr>
        <w:t xml:space="preserve"> присваивается нулевое значение.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Определение размера гранта</w:t>
      </w:r>
    </w:p>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определения размера гранта устанавливается субъектом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Размер гранта i-</w:t>
      </w:r>
      <w:proofErr w:type="spellStart"/>
      <w:r>
        <w:rPr>
          <w:rFonts w:ascii="Arial" w:hAnsi="Arial" w:cs="Arial"/>
          <w:sz w:val="20"/>
          <w:szCs w:val="20"/>
        </w:rPr>
        <w:t>му</w:t>
      </w:r>
      <w:proofErr w:type="spellEnd"/>
      <w:r>
        <w:rPr>
          <w:rFonts w:ascii="Arial" w:hAnsi="Arial" w:cs="Arial"/>
          <w:sz w:val="20"/>
          <w:szCs w:val="20"/>
        </w:rPr>
        <w:t xml:space="preserve"> муниципальному образованию, претендующему на получение гранта (</w:t>
      </w:r>
      <w:proofErr w:type="spellStart"/>
      <w:r>
        <w:rPr>
          <w:rFonts w:ascii="Arial" w:hAnsi="Arial" w:cs="Arial"/>
          <w:sz w:val="20"/>
          <w:szCs w:val="20"/>
        </w:rPr>
        <w:t>Г</w:t>
      </w:r>
      <w:proofErr w:type="gramStart"/>
      <w:r>
        <w:rPr>
          <w:rFonts w:ascii="Arial" w:hAnsi="Arial" w:cs="Arial"/>
          <w:sz w:val="20"/>
          <w:szCs w:val="20"/>
        </w:rPr>
        <w:t>i</w:t>
      </w:r>
      <w:proofErr w:type="spellEnd"/>
      <w:proofErr w:type="gramEnd"/>
      <w:r>
        <w:rPr>
          <w:rFonts w:ascii="Arial" w:hAnsi="Arial" w:cs="Arial"/>
          <w:sz w:val="20"/>
          <w:szCs w:val="20"/>
        </w:rPr>
        <w:t>), предлагается определять по формуле:</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center"/>
        <w:rPr>
          <w:rFonts w:ascii="Arial" w:hAnsi="Arial" w:cs="Arial"/>
          <w:sz w:val="20"/>
          <w:szCs w:val="20"/>
        </w:rPr>
      </w:pPr>
      <w:r>
        <w:rPr>
          <w:rFonts w:ascii="Arial" w:hAnsi="Arial" w:cs="Arial"/>
          <w:noProof/>
          <w:position w:val="-102"/>
          <w:sz w:val="20"/>
          <w:szCs w:val="20"/>
          <w:lang w:eastAsia="ru-RU"/>
        </w:rPr>
        <w:lastRenderedPageBreak/>
        <w:drawing>
          <wp:inline distT="0" distB="0" distL="0" distR="0">
            <wp:extent cx="1487170" cy="1423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87170" cy="1423035"/>
                    </a:xfrm>
                    <a:prstGeom prst="rect">
                      <a:avLst/>
                    </a:prstGeom>
                    <a:noFill/>
                    <a:ln>
                      <a:noFill/>
                    </a:ln>
                  </pic:spPr>
                </pic:pic>
              </a:graphicData>
            </a:graphic>
          </wp:inline>
        </w:drawing>
      </w:r>
      <w:r>
        <w:rPr>
          <w:rFonts w:ascii="Arial" w:hAnsi="Arial" w:cs="Arial"/>
          <w:sz w:val="20"/>
          <w:szCs w:val="20"/>
        </w:rPr>
        <w:t>,</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19113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Pr>
          <w:rFonts w:ascii="Arial" w:hAnsi="Arial" w:cs="Arial"/>
          <w:sz w:val="20"/>
          <w:szCs w:val="20"/>
        </w:rPr>
        <w:t xml:space="preserve"> - значение комплексной оценки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общее количество муниципальных образований;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 число муниципальных образований - получателей грантов;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19113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Pr>
          <w:rFonts w:ascii="Arial" w:hAnsi="Arial" w:cs="Arial"/>
          <w:sz w:val="20"/>
          <w:szCs w:val="20"/>
        </w:rPr>
        <w:t xml:space="preserve"> - общий размер грантов, предусмотренный субъектом Российской Федерации на соответствующий финансовый год.</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2" w:name="Par553"/>
      <w:bookmarkEnd w:id="42"/>
      <w:r>
        <w:rPr>
          <w:rFonts w:ascii="Arial" w:eastAsiaTheme="minorHAnsi" w:hAnsi="Arial" w:cs="Arial"/>
          <w:color w:val="auto"/>
          <w:sz w:val="20"/>
          <w:szCs w:val="20"/>
        </w:rPr>
        <w:t>ПЕРЕЧЕНЬ</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РЕКОМЕНДУЕМЫХ ПОКАЗАТЕЛЕЙ, ИСПОЛЬЗУЕМЫХ ДЛЯ ОПРЕДЕЛЕНИЯ</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РАЗМЕРА ГРАНТОВ</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06.02.2017 N 142)</w:t>
            </w:r>
          </w:p>
        </w:tc>
      </w:tr>
    </w:tbl>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субъектов малого и среднего предпринимательства в расчете на 10 тыс. человек населения (единиц).</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Объем инвестиций в основной капитал (за исключением бюджетных средств) в расчете на 1 жителя (рублей).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Исключен. - </w:t>
      </w:r>
      <w:hyperlink r:id="rId5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06.02.2017 N 142.</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Общая площадь жилых помещений, введенная в действие за один год в среднем на 1 жителя (кв. метров).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Удовлетворенность населения деятельностью органов местного самоуправления (процентов от числа опрошенных).</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3" w:name="Par580"/>
      <w:bookmarkEnd w:id="43"/>
      <w:r>
        <w:rPr>
          <w:rFonts w:ascii="Arial" w:eastAsiaTheme="minorHAnsi" w:hAnsi="Arial" w:cs="Arial"/>
          <w:color w:val="auto"/>
          <w:sz w:val="20"/>
          <w:szCs w:val="20"/>
        </w:rPr>
        <w:t>ПРАВИЛА</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ОЦЕНКИ НАСЕЛЕНИЕМ ЭФФЕКТИВНОСТИ ДЕЯТЕЛЬНОСТИ РУКОВОДИТЕЛЕЙ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МЕСТНОГО САМОУПРАВЛЕНИЯ, УНИТАРНЫХ ПРЕДПРИЯТИЙ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УЧРЕЖДЕНИЙ, ДЕЙСТВУЮЩИХ НА </w:t>
      </w:r>
      <w:proofErr w:type="gramStart"/>
      <w:r>
        <w:rPr>
          <w:rFonts w:ascii="Arial" w:eastAsiaTheme="minorHAnsi" w:hAnsi="Arial" w:cs="Arial"/>
          <w:color w:val="auto"/>
          <w:sz w:val="20"/>
          <w:szCs w:val="20"/>
        </w:rPr>
        <w:t>РЕГИОНАЛЬНОМ</w:t>
      </w:r>
      <w:proofErr w:type="gramEnd"/>
      <w:r>
        <w:rPr>
          <w:rFonts w:ascii="Arial" w:eastAsiaTheme="minorHAnsi" w:hAnsi="Arial" w:cs="Arial"/>
          <w:color w:val="auto"/>
          <w:sz w:val="20"/>
          <w:szCs w:val="20"/>
        </w:rPr>
        <w:t xml:space="preserve"> И МУНИЦИПАЛЬНОМ</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УРОВНЯХ</w:t>
      </w:r>
      <w:proofErr w:type="gramEnd"/>
      <w:r>
        <w:rPr>
          <w:rFonts w:ascii="Arial" w:eastAsiaTheme="minorHAnsi" w:hAnsi="Arial" w:cs="Arial"/>
          <w:color w:val="auto"/>
          <w:sz w:val="20"/>
          <w:szCs w:val="20"/>
        </w:rPr>
        <w:t>, АКЦИОНЕРНЫХ ОБЩЕСТВ, КОНТРОЛЬНЫЙ ПАКЕТ АКЦИЙ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КОТОРЫХ НАХОДИТСЯ В СОБСТВЕННОСТИ СУБЪЕКТОВ РОССИЙСКОЙ</w:t>
      </w:r>
      <w:proofErr w:type="gramEnd"/>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ФЕДЕРАЦИИ ИЛИ В МУНИЦИПАЛЬНОЙ СОБСТВЕННОСТИ, </w:t>
      </w:r>
      <w:proofErr w:type="gramStart"/>
      <w:r>
        <w:rPr>
          <w:rFonts w:ascii="Arial" w:eastAsiaTheme="minorHAnsi" w:hAnsi="Arial" w:cs="Arial"/>
          <w:color w:val="auto"/>
          <w:sz w:val="20"/>
          <w:szCs w:val="20"/>
        </w:rPr>
        <w:t>ОСУЩЕСТВЛЯЮЩИХ</w:t>
      </w:r>
      <w:proofErr w:type="gramEnd"/>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ОКАЗАНИЕ УСЛУГ НАСЕЛЕНИЮ МУНИЦИПАЛЬНЫХ ОБРАЗОВАНИЙ,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ТАКЖЕ ПРИМЕНЕНИЯ РЕЗУЛЬТАТОВ УКАЗАННОЙ ОЦЕНКИ</w:t>
      </w:r>
    </w:p>
    <w:p w:rsidR="00A47D80" w:rsidRDefault="00A47D80" w:rsidP="00A47D8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D80">
        <w:trPr>
          <w:jc w:val="center"/>
        </w:trPr>
        <w:tc>
          <w:tcPr>
            <w:tcW w:w="10147" w:type="dxa"/>
            <w:tcBorders>
              <w:left w:val="single" w:sz="24" w:space="0" w:color="CED3F1"/>
              <w:right w:val="single" w:sz="24" w:space="0" w:color="F4F3F8"/>
            </w:tcBorders>
            <w:shd w:val="clear" w:color="auto" w:fill="F4F3F8"/>
          </w:tcPr>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7D80" w:rsidRDefault="00A47D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26.12.2014 </w:t>
            </w:r>
            <w:hyperlink r:id="rId52" w:history="1">
              <w:r>
                <w:rPr>
                  <w:rFonts w:ascii="Arial" w:hAnsi="Arial" w:cs="Arial"/>
                  <w:color w:val="0000FF"/>
                  <w:sz w:val="20"/>
                  <w:szCs w:val="20"/>
                </w:rPr>
                <w:t>N 1505</w:t>
              </w:r>
            </w:hyperlink>
            <w:r>
              <w:rPr>
                <w:rFonts w:ascii="Arial" w:hAnsi="Arial" w:cs="Arial"/>
                <w:color w:val="392C69"/>
                <w:sz w:val="20"/>
                <w:szCs w:val="20"/>
              </w:rPr>
              <w:t>,</w:t>
            </w:r>
            <w:proofErr w:type="gramEnd"/>
          </w:p>
          <w:p w:rsidR="00A47D80" w:rsidRDefault="00A47D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09.07.2016 </w:t>
            </w:r>
            <w:hyperlink r:id="rId53" w:history="1">
              <w:r>
                <w:rPr>
                  <w:rFonts w:ascii="Arial" w:hAnsi="Arial" w:cs="Arial"/>
                  <w:color w:val="0000FF"/>
                  <w:sz w:val="20"/>
                  <w:szCs w:val="20"/>
                </w:rPr>
                <w:t>N 654</w:t>
              </w:r>
            </w:hyperlink>
            <w:r>
              <w:rPr>
                <w:rFonts w:ascii="Arial" w:hAnsi="Arial" w:cs="Arial"/>
                <w:color w:val="392C69"/>
                <w:sz w:val="20"/>
                <w:szCs w:val="20"/>
              </w:rPr>
              <w:t>)</w:t>
            </w:r>
          </w:p>
        </w:tc>
      </w:tr>
    </w:tbl>
    <w:p w:rsidR="00A47D80" w:rsidRDefault="00A47D80" w:rsidP="00A47D80">
      <w:pPr>
        <w:autoSpaceDE w:val="0"/>
        <w:autoSpaceDN w:val="0"/>
        <w:adjustRightInd w:val="0"/>
        <w:spacing w:after="0" w:line="240" w:lineRule="auto"/>
        <w:jc w:val="center"/>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оценки населением эффективности деятельности руководителей: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ar647" w:history="1">
        <w:r>
          <w:rPr>
            <w:rFonts w:ascii="Arial" w:hAnsi="Arial" w:cs="Arial"/>
            <w:color w:val="0000FF"/>
            <w:sz w:val="20"/>
            <w:szCs w:val="20"/>
          </w:rPr>
          <w:t>критериям</w:t>
        </w:r>
      </w:hyperlink>
      <w:r>
        <w:rPr>
          <w:rFonts w:ascii="Arial" w:hAnsi="Arial" w:cs="Arial"/>
          <w:sz w:val="20"/>
          <w:szCs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w:t>
      </w:r>
      <w:r>
        <w:rPr>
          <w:rFonts w:ascii="Arial" w:hAnsi="Arial" w:cs="Arial"/>
          <w:sz w:val="20"/>
          <w:szCs w:val="20"/>
        </w:rPr>
        <w:lastRenderedPageBreak/>
        <w:t>постановлением Правительства Российской Федерации от</w:t>
      </w:r>
      <w:proofErr w:type="gramEnd"/>
      <w:r>
        <w:rPr>
          <w:rFonts w:ascii="Arial" w:hAnsi="Arial" w:cs="Arial"/>
          <w:sz w:val="20"/>
          <w:szCs w:val="20"/>
        </w:rPr>
        <w:t xml:space="preserve"> 17 декабря 2012 г. N 1317 (далее соответственно - оценка населением, критерии оценки населением).</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Опросы с применением IT-технологий проводятся в течение всего отчетного (календарного) года (с 1 января по 31 декабря включительно).</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rPr>
          <w:rFonts w:ascii="Arial" w:hAnsi="Arial" w:cs="Arial"/>
          <w:sz w:val="20"/>
          <w:szCs w:val="20"/>
        </w:rPr>
        <w:t>ии и ау</w:t>
      </w:r>
      <w:proofErr w:type="gramEnd"/>
      <w:r>
        <w:rPr>
          <w:rFonts w:ascii="Arial" w:hAnsi="Arial" w:cs="Arial"/>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26.12.2014 N 1505)</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rPr>
          <w:rFonts w:ascii="Arial" w:hAnsi="Arial" w:cs="Arial"/>
          <w:sz w:val="20"/>
          <w:szCs w:val="20"/>
        </w:rPr>
        <w:t>рекомендаций</w:t>
      </w:r>
      <w:proofErr w:type="gramEnd"/>
      <w:r>
        <w:rPr>
          <w:rFonts w:ascii="Arial" w:hAnsi="Arial" w:cs="Arial"/>
          <w:sz w:val="20"/>
          <w:szCs w:val="20"/>
        </w:rP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выявлении экспертной комиссией обоснованных причин низкой оценки населением экспертная комиссия может рекомендовать:</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10(1)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ar464" w:history="1">
        <w:r>
          <w:rPr>
            <w:rFonts w:ascii="Arial" w:hAnsi="Arial" w:cs="Arial"/>
            <w:color w:val="0000FF"/>
            <w:sz w:val="20"/>
            <w:szCs w:val="20"/>
          </w:rPr>
          <w:t>пунктом 5</w:t>
        </w:r>
      </w:hyperlink>
      <w:r>
        <w:rPr>
          <w:rFonts w:ascii="Arial" w:hAnsi="Arial" w:cs="Arial"/>
          <w:sz w:val="20"/>
          <w:szCs w:val="20"/>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rPr>
          <w:rFonts w:ascii="Arial" w:hAnsi="Arial" w:cs="Arial"/>
          <w:sz w:val="20"/>
          <w:szCs w:val="20"/>
        </w:rPr>
        <w:t xml:space="preserve"> (или) поощрения </w:t>
      </w:r>
      <w:proofErr w:type="gramStart"/>
      <w:r>
        <w:rPr>
          <w:rFonts w:ascii="Arial" w:hAnsi="Arial" w:cs="Arial"/>
          <w:sz w:val="20"/>
          <w:szCs w:val="20"/>
        </w:rPr>
        <w:t xml:space="preserve">достижения </w:t>
      </w:r>
      <w:r>
        <w:rPr>
          <w:rFonts w:ascii="Arial" w:hAnsi="Arial" w:cs="Arial"/>
          <w:sz w:val="20"/>
          <w:szCs w:val="20"/>
        </w:rPr>
        <w:lastRenderedPageBreak/>
        <w:t>наилучших значений показателей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 утвержденных постановлением Правительства Российской Федерации от 17 декабря 2012 г. N 1317.</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0" w:history="1">
        <w:r>
          <w:rPr>
            <w:rFonts w:ascii="Arial" w:hAnsi="Arial" w:cs="Arial"/>
            <w:color w:val="0000FF"/>
            <w:sz w:val="20"/>
            <w:szCs w:val="20"/>
          </w:rPr>
          <w:t>частью 11(1) статьи 35</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rPr>
          <w:rFonts w:ascii="Arial" w:hAnsi="Arial" w:cs="Arial"/>
          <w:sz w:val="20"/>
          <w:szCs w:val="20"/>
        </w:rPr>
        <w:t>эффективности деятельности органов местного самоуправления городских округов</w:t>
      </w:r>
      <w:proofErr w:type="gramEnd"/>
      <w:r>
        <w:rPr>
          <w:rFonts w:ascii="Arial" w:hAnsi="Arial" w:cs="Arial"/>
          <w:sz w:val="20"/>
          <w:szCs w:val="20"/>
        </w:rPr>
        <w:t xml:space="preserve"> и муниципальных районов.</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rPr>
          <w:rFonts w:ascii="Arial" w:hAnsi="Arial" w:cs="Arial"/>
          <w:sz w:val="20"/>
          <w:szCs w:val="20"/>
        </w:rPr>
        <w:t>решениях</w:t>
      </w:r>
      <w:proofErr w:type="gramEnd"/>
      <w:r>
        <w:rPr>
          <w:rFonts w:ascii="Arial" w:hAnsi="Arial" w:cs="Arial"/>
          <w:sz w:val="20"/>
          <w:szCs w:val="20"/>
        </w:rP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A47D80" w:rsidRDefault="00A47D80" w:rsidP="00A47D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w:t>
      </w:r>
      <w:proofErr w:type="gramStart"/>
      <w:r>
        <w:rPr>
          <w:rFonts w:ascii="Arial" w:hAnsi="Arial" w:cs="Arial"/>
          <w:sz w:val="20"/>
          <w:szCs w:val="20"/>
        </w:rPr>
        <w:t>введен</w:t>
      </w:r>
      <w:proofErr w:type="gramEnd"/>
      <w:r>
        <w:rPr>
          <w:rFonts w:ascii="Arial" w:hAnsi="Arial" w:cs="Arial"/>
          <w:sz w:val="20"/>
          <w:szCs w:val="20"/>
        </w:rPr>
        <w:t xml:space="preserve">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09.07.2016 N 654)</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7D80" w:rsidRDefault="00A47D80" w:rsidP="00A47D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2012 г. N 1317</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4" w:name="Par647"/>
      <w:bookmarkEnd w:id="44"/>
      <w:r>
        <w:rPr>
          <w:rFonts w:ascii="Arial" w:eastAsiaTheme="minorHAnsi" w:hAnsi="Arial" w:cs="Arial"/>
          <w:color w:val="auto"/>
          <w:sz w:val="20"/>
          <w:szCs w:val="20"/>
        </w:rPr>
        <w:t>КРИТЕРИИ</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ОЦЕНКИ НАСЕЛЕНИЕМ ЭФФЕКТИВНОСТИ ДЕЯТЕЛЬНОСТИ РУКОВОДИТЕЛЕЙ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МЕСТНОГО САМОУПРАВЛЕНИЯ, УНИТАРНЫХ ПРЕДПРИЯТИЙ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УЧРЕЖДЕНИЙ, ДЕЙСТВУЮЩИХ НА </w:t>
      </w:r>
      <w:proofErr w:type="gramStart"/>
      <w:r>
        <w:rPr>
          <w:rFonts w:ascii="Arial" w:eastAsiaTheme="minorHAnsi" w:hAnsi="Arial" w:cs="Arial"/>
          <w:color w:val="auto"/>
          <w:sz w:val="20"/>
          <w:szCs w:val="20"/>
        </w:rPr>
        <w:t>РЕГИОНАЛЬНОМ</w:t>
      </w:r>
      <w:proofErr w:type="gramEnd"/>
      <w:r>
        <w:rPr>
          <w:rFonts w:ascii="Arial" w:eastAsiaTheme="minorHAnsi" w:hAnsi="Arial" w:cs="Arial"/>
          <w:color w:val="auto"/>
          <w:sz w:val="20"/>
          <w:szCs w:val="20"/>
        </w:rPr>
        <w:t xml:space="preserve"> И МУНИЦИПАЛЬНОМ</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lastRenderedPageBreak/>
        <w:t>УРОВНЯХ</w:t>
      </w:r>
      <w:proofErr w:type="gramEnd"/>
      <w:r>
        <w:rPr>
          <w:rFonts w:ascii="Arial" w:eastAsiaTheme="minorHAnsi" w:hAnsi="Arial" w:cs="Arial"/>
          <w:color w:val="auto"/>
          <w:sz w:val="20"/>
          <w:szCs w:val="20"/>
        </w:rPr>
        <w:t>, АКЦИОНЕРНЫХ ОБЩЕСТВ, КОНТРОЛЬНЫЙ ПАКЕТ АКЦИЙ</w:t>
      </w:r>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КОТОРЫХ НАХОДИТСЯ В СОБСТВЕННОСТИ СУБЪЕКТОВ РОССИЙСКОЙ</w:t>
      </w:r>
      <w:proofErr w:type="gramEnd"/>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ФЕДЕРАЦИИ ИЛИ В МУНИЦИПАЛЬНОЙ СОБСТВЕННОСТИ, </w:t>
      </w:r>
      <w:proofErr w:type="gramStart"/>
      <w:r>
        <w:rPr>
          <w:rFonts w:ascii="Arial" w:eastAsiaTheme="minorHAnsi" w:hAnsi="Arial" w:cs="Arial"/>
          <w:color w:val="auto"/>
          <w:sz w:val="20"/>
          <w:szCs w:val="20"/>
        </w:rPr>
        <w:t>ОСУЩЕСТВЛЯЮЩИХ</w:t>
      </w:r>
      <w:proofErr w:type="gramEnd"/>
    </w:p>
    <w:p w:rsidR="00A47D80" w:rsidRDefault="00A47D80" w:rsidP="00A47D8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ОКАЗАНИЕ УСЛУГ НАСЕЛЕНИЮ МУНИЦИПАЛЬНЫХ ОБРАЗОВАНИЙ</w:t>
      </w:r>
    </w:p>
    <w:p w:rsidR="00A47D80" w:rsidRDefault="00A47D80" w:rsidP="00A47D80">
      <w:pPr>
        <w:autoSpaceDE w:val="0"/>
        <w:autoSpaceDN w:val="0"/>
        <w:adjustRightInd w:val="0"/>
        <w:spacing w:after="0" w:line="240" w:lineRule="auto"/>
        <w:ind w:firstLine="540"/>
        <w:jc w:val="both"/>
        <w:rPr>
          <w:rFonts w:ascii="Arial" w:hAnsi="Arial" w:cs="Arial"/>
          <w:sz w:val="20"/>
          <w:szCs w:val="20"/>
        </w:rPr>
      </w:pPr>
    </w:p>
    <w:p w:rsidR="00A47D80" w:rsidRDefault="00A47D80" w:rsidP="00A47D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Удовлетворенность населения организацией транспортного обслуживания в муниципальном образовании (процентов от числа опрошенных).</w:t>
      </w:r>
    </w:p>
    <w:p w:rsidR="00A47D80" w:rsidRDefault="00A47D80" w:rsidP="00A47D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Удовлетворенность населения качеством автомобильных дорог в муниципальном образовании (процентов от числа опрошенных).</w:t>
      </w:r>
    </w:p>
    <w:p w:rsidR="00531F12" w:rsidRDefault="00A47D80" w:rsidP="00A47D80">
      <w:pPr>
        <w:autoSpaceDE w:val="0"/>
        <w:autoSpaceDN w:val="0"/>
        <w:adjustRightInd w:val="0"/>
        <w:spacing w:before="200" w:after="0" w:line="240" w:lineRule="auto"/>
        <w:ind w:firstLine="540"/>
        <w:jc w:val="both"/>
      </w:pPr>
      <w:r>
        <w:rPr>
          <w:rFonts w:ascii="Arial" w:hAnsi="Arial" w:cs="Arial"/>
          <w:sz w:val="20"/>
          <w:szCs w:val="20"/>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bookmarkStart w:id="45" w:name="_GoBack"/>
      <w:bookmarkEnd w:id="45"/>
    </w:p>
    <w:sectPr w:rsidR="00531F12" w:rsidSect="00E063C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85"/>
    <w:rsid w:val="00531F12"/>
    <w:rsid w:val="00627992"/>
    <w:rsid w:val="006D2570"/>
    <w:rsid w:val="007C3EF3"/>
    <w:rsid w:val="00851C85"/>
    <w:rsid w:val="00880220"/>
    <w:rsid w:val="008F2796"/>
    <w:rsid w:val="00904995"/>
    <w:rsid w:val="009F6285"/>
    <w:rsid w:val="00A34C88"/>
    <w:rsid w:val="00A47D80"/>
    <w:rsid w:val="00AB721A"/>
    <w:rsid w:val="00BA5511"/>
    <w:rsid w:val="00D07754"/>
    <w:rsid w:val="00DA57AB"/>
    <w:rsid w:val="00DF1485"/>
    <w:rsid w:val="00E75512"/>
    <w:rsid w:val="00F91F05"/>
    <w:rsid w:val="00FC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3204D0371A6A92A10A7DEF1F1FBA0E592EDD84940CFE74264ED6B1435EDE31D413A8444774C38FA373B6C59wFsDJ" TargetMode="External"/><Relationship Id="rId18" Type="http://schemas.openxmlformats.org/officeDocument/2006/relationships/hyperlink" Target="consultantplus://offline/ref=11F3204D0371A6A92A10A7DEF1F1FBA0E592EDD84241CFE74264ED6B1435EDE31D413A8444774C38FA373B6C59wFsDJ" TargetMode="External"/><Relationship Id="rId26" Type="http://schemas.openxmlformats.org/officeDocument/2006/relationships/hyperlink" Target="consultantplus://offline/ref=11F3204D0371A6A92A10A7DEF1F1FBA0E59BECD44541CFE74264ED6B1435EDE30F41628844725238FF226D3D1CA075BB6ED61764E653C712w6s4J" TargetMode="External"/><Relationship Id="rId39" Type="http://schemas.openxmlformats.org/officeDocument/2006/relationships/image" Target="media/image9.wmf"/><Relationship Id="rId21" Type="http://schemas.openxmlformats.org/officeDocument/2006/relationships/hyperlink" Target="consultantplus://offline/ref=11F3204D0371A6A92A10A7DEF1F1FBA0E59BECD44541CFE74264ED6B1435EDE30F41628844725238FE226D3D1CA075BB6ED61764E653C712w6s4J"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hyperlink" Target="consultantplus://offline/ref=11F3204D0371A6A92A10A7DEF1F1FBA0E692E9D54142CFE74264ED6B1435EDE30F41628844725238F9226D3D1CA075BB6ED61764E653C712w6s4J" TargetMode="External"/><Relationship Id="rId55" Type="http://schemas.openxmlformats.org/officeDocument/2006/relationships/hyperlink" Target="consultantplus://offline/ref=11F3204D0371A6A92A10A7DEF1F1FBA0E693EAD74945CFE74264ED6B1435EDE30F41628844725238FC226D3D1CA075BB6ED61764E653C712w6s4J" TargetMode="External"/><Relationship Id="rId63" Type="http://schemas.openxmlformats.org/officeDocument/2006/relationships/fontTable" Target="fontTable.xml"/><Relationship Id="rId7" Type="http://schemas.openxmlformats.org/officeDocument/2006/relationships/hyperlink" Target="consultantplus://offline/ref=11F3204D0371A6A92A10A7DEF1F1FBA0E591E2D34343CFE74264ED6B1435EDE30F41628844725238F9226D3D1CA075BB6ED61764E653C712w6s4J" TargetMode="External"/><Relationship Id="rId2" Type="http://schemas.microsoft.com/office/2007/relationships/stylesWithEffects" Target="stylesWithEffects.xml"/><Relationship Id="rId16" Type="http://schemas.openxmlformats.org/officeDocument/2006/relationships/hyperlink" Target="consultantplus://offline/ref=11F3204D0371A6A92A10A7DEF1F1FBA0E593E3D24645CFE74264ED6B1435EDE31D413A8444774C38FA373B6C59wFsDJ" TargetMode="External"/><Relationship Id="rId29" Type="http://schemas.openxmlformats.org/officeDocument/2006/relationships/hyperlink" Target="consultantplus://offline/ref=11F3204D0371A6A92A10A7DEF1F1FBA0E693EDD74147CFE74264ED6B1435EDE30F41628C4F26037DAF24396946F478A569C817w6sCJ" TargetMode="External"/><Relationship Id="rId11" Type="http://schemas.openxmlformats.org/officeDocument/2006/relationships/hyperlink" Target="consultantplus://offline/ref=11F3204D0371A6A92A10A7DEF1F1FBA0E692E9D54142CFE74264ED6B1435EDE30F41628844725238FA226D3D1CA075BB6ED61764E653C712w6s4J" TargetMode="External"/><Relationship Id="rId24" Type="http://schemas.openxmlformats.org/officeDocument/2006/relationships/hyperlink" Target="consultantplus://offline/ref=11F3204D0371A6A92A10A7DEF1F1FBA0E692E9D54142CFE74264ED6B1435EDE30F41628844725238FB226D3D1CA075BB6ED61764E653C712w6s4J"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image" Target="media/image15.wmf"/><Relationship Id="rId53" Type="http://schemas.openxmlformats.org/officeDocument/2006/relationships/hyperlink" Target="consultantplus://offline/ref=11F3204D0371A6A92A10A7DEF1F1FBA0E693EAD74945CFE74264ED6B1435EDE30F41628844725238F9226D3D1CA075BB6ED61764E653C712w6s4J" TargetMode="External"/><Relationship Id="rId58" Type="http://schemas.openxmlformats.org/officeDocument/2006/relationships/hyperlink" Target="consultantplus://offline/ref=11F3204D0371A6A92A10A7DEF1F1FBA0E693EAD74945CFE74264ED6B1435EDE30F4162884472523BF8226D3D1CA075BB6ED61764E653C712w6s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1F3204D0371A6A92A10A7DEF1F1FBA0E693EAD74945CFE74264ED6B1435EDE30F4162884472523BFC226D3D1CA075BB6ED61764E653C712w6s4J" TargetMode="External"/><Relationship Id="rId19" Type="http://schemas.openxmlformats.org/officeDocument/2006/relationships/hyperlink" Target="consultantplus://offline/ref=11F3204D0371A6A92A10A7DEF1F1FBA0E59BECD44541CFE74264ED6B1435EDE30F41628844725238F8226D3D1CA075BB6ED61764E653C712w6s4J" TargetMode="External"/><Relationship Id="rId14" Type="http://schemas.openxmlformats.org/officeDocument/2006/relationships/hyperlink" Target="consultantplus://offline/ref=11F3204D0371A6A92A10A7DEF1F1FBA0E593E3D34040CFE74264ED6B1435EDE31D413A8444774C38FA373B6C59wFsDJ" TargetMode="External"/><Relationship Id="rId22" Type="http://schemas.openxmlformats.org/officeDocument/2006/relationships/hyperlink" Target="consultantplus://offline/ref=11F3204D0371A6A92A10A7DEF1F1FBA0E692E9D54142CFE74264ED6B1435EDE30F41628844725238FB226D3D1CA075BB6ED61764E653C712w6s4J" TargetMode="External"/><Relationship Id="rId27" Type="http://schemas.openxmlformats.org/officeDocument/2006/relationships/hyperlink" Target="consultantplus://offline/ref=11F3204D0371A6A92A10A7DEF1F1FBA0E692E9D54142CFE74264ED6B1435EDE30F41628844725238F8226D3D1CA075BB6ED61764E653C712w6s4J" TargetMode="External"/><Relationship Id="rId30" Type="http://schemas.openxmlformats.org/officeDocument/2006/relationships/hyperlink" Target="consultantplus://offline/ref=11F3204D0371A6A92A10A7DEF1F1FBA0E693EAD74945CFE74264ED6B1435EDE30F41628844725238FB226D3D1CA075BB6ED61764E653C712w6s4J" TargetMode="External"/><Relationship Id="rId35"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image" Target="media/image18.wmf"/><Relationship Id="rId56" Type="http://schemas.openxmlformats.org/officeDocument/2006/relationships/hyperlink" Target="consultantplus://offline/ref=11F3204D0371A6A92A10A7DEF1F1FBA0E693EAD74945CFE74264ED6B1435EDE30F41628844725238FD226D3D1CA075BB6ED61764E653C712w6s4J" TargetMode="External"/><Relationship Id="rId64" Type="http://schemas.openxmlformats.org/officeDocument/2006/relationships/theme" Target="theme/theme1.xml"/><Relationship Id="rId8" Type="http://schemas.openxmlformats.org/officeDocument/2006/relationships/hyperlink" Target="consultantplus://offline/ref=11F3204D0371A6A92A10A7DEF1F1FBA0E69AEDD54142CFE74264ED6B1435EDE30F41628844725339FC226D3D1CA075BB6ED61764E653C712w6s4J" TargetMode="External"/><Relationship Id="rId51" Type="http://schemas.openxmlformats.org/officeDocument/2006/relationships/hyperlink" Target="consultantplus://offline/ref=11F3204D0371A6A92A10A7DEF1F1FBA0E692E9D54142CFE74264ED6B1435EDE30F41628844725238F9226D3D1CA075BB6ED61764E653C712w6s4J" TargetMode="External"/><Relationship Id="rId3" Type="http://schemas.openxmlformats.org/officeDocument/2006/relationships/settings" Target="settings.xml"/><Relationship Id="rId12" Type="http://schemas.openxmlformats.org/officeDocument/2006/relationships/hyperlink" Target="consultantplus://offline/ref=11F3204D0371A6A92A10A7DEF1F1FBA0E693EAD74945CFE74264ED6B1435EDE30F41628844725239F3226D3D1CA075BB6ED61764E653C712w6s4J" TargetMode="External"/><Relationship Id="rId17" Type="http://schemas.openxmlformats.org/officeDocument/2006/relationships/hyperlink" Target="consultantplus://offline/ref=11F3204D0371A6A92A10A7DEF1F1FBA0E592EED2484DCFE74264ED6B1435EDE31D413A8444774C38FA373B6C59wFsDJ" TargetMode="External"/><Relationship Id="rId25" Type="http://schemas.openxmlformats.org/officeDocument/2006/relationships/hyperlink" Target="consultantplus://offline/ref=11F3204D0371A6A92A10A7DEF1F1FBA0E59BECD44541CFE74264ED6B1435EDE30F41628844725238FE226D3D1CA075BB6ED61764E653C712w6s4J"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image" Target="media/image16.wmf"/><Relationship Id="rId59" Type="http://schemas.openxmlformats.org/officeDocument/2006/relationships/hyperlink" Target="consultantplus://offline/ref=11F3204D0371A6A92A10A7DEF1F1FBA0E693EAD74945CFE74264ED6B1435EDE30F4162884472523BFE226D3D1CA075BB6ED61764E653C712w6s4J" TargetMode="External"/><Relationship Id="rId20" Type="http://schemas.openxmlformats.org/officeDocument/2006/relationships/hyperlink" Target="consultantplus://offline/ref=11F3204D0371A6A92A10A7DEF1F1FBA0E59BECD44541CFE74264ED6B1435EDE30F41628844725238F8226D3D1CA075BB6ED61764E653C712w6s4J" TargetMode="External"/><Relationship Id="rId41" Type="http://schemas.openxmlformats.org/officeDocument/2006/relationships/image" Target="media/image11.wmf"/><Relationship Id="rId54" Type="http://schemas.openxmlformats.org/officeDocument/2006/relationships/hyperlink" Target="consultantplus://offline/ref=11F3204D0371A6A92A10A7DEF1F1FBA0E693EAD74945CFE74264ED6B1435EDE30F41628844725238FE226D3D1CA075BB6ED61764E653C712w6s4J" TargetMode="External"/><Relationship Id="rId62" Type="http://schemas.openxmlformats.org/officeDocument/2006/relationships/hyperlink" Target="consultantplus://offline/ref=11F3204D0371A6A92A10A7DEF1F1FBA0E693EAD74945CFE74264ED6B1435EDE30F4162884472523BF2226D3D1CA075BB6ED61764E653C712w6s4J" TargetMode="External"/><Relationship Id="rId1" Type="http://schemas.openxmlformats.org/officeDocument/2006/relationships/styles" Target="styles.xml"/><Relationship Id="rId6" Type="http://schemas.openxmlformats.org/officeDocument/2006/relationships/hyperlink" Target="consultantplus://offline/ref=11F3204D0371A6A92A10A7DEF1F1FBA0E693EDD74147CFE74264ED6B1435EDE30F41628844725239F3226D3D1CA075BB6ED61764E653C712w6s4J" TargetMode="External"/><Relationship Id="rId15" Type="http://schemas.openxmlformats.org/officeDocument/2006/relationships/hyperlink" Target="consultantplus://offline/ref=11F3204D0371A6A92A10A7DEF1F1FBA0E593E8D04942CFE74264ED6B1435EDE31D413A8444774C38FA373B6C59wFsDJ" TargetMode="External"/><Relationship Id="rId23" Type="http://schemas.openxmlformats.org/officeDocument/2006/relationships/hyperlink" Target="consultantplus://offline/ref=11F3204D0371A6A92A10A7DEF1F1FBA0E693EDD74147CFE74264ED6B1435EDE30F41628C4F26037DAF24396946F478A569C817w6sCJ" TargetMode="External"/><Relationship Id="rId28" Type="http://schemas.openxmlformats.org/officeDocument/2006/relationships/hyperlink" Target="consultantplus://offline/ref=11F3204D0371A6A92A10A7DEF1F1FBA0E693EAD74945CFE74264ED6B1435EDE30F41628844725238FB226D3D1CA075BB6ED61764E653C712w6s4J" TargetMode="External"/><Relationship Id="rId36" Type="http://schemas.openxmlformats.org/officeDocument/2006/relationships/image" Target="media/image6.wmf"/><Relationship Id="rId49" Type="http://schemas.openxmlformats.org/officeDocument/2006/relationships/image" Target="media/image19.wmf"/><Relationship Id="rId57" Type="http://schemas.openxmlformats.org/officeDocument/2006/relationships/hyperlink" Target="consultantplus://offline/ref=11F3204D0371A6A92A10A7DEF1F1FBA0E69AEDD54142CFE74264ED6B1435EDE30F41628844725339FC226D3D1CA075BB6ED61764E653C712w6s4J" TargetMode="External"/><Relationship Id="rId10" Type="http://schemas.openxmlformats.org/officeDocument/2006/relationships/hyperlink" Target="consultantplus://offline/ref=11F3204D0371A6A92A10A7DEF1F1FBA0E693EAD74945CFE74264ED6B1435EDE30F41628844725239FF226D3D1CA075BB6ED61764E653C712w6s4J" TargetMode="External"/><Relationship Id="rId31" Type="http://schemas.openxmlformats.org/officeDocument/2006/relationships/image" Target="media/image1.wmf"/><Relationship Id="rId44" Type="http://schemas.openxmlformats.org/officeDocument/2006/relationships/image" Target="media/image14.wmf"/><Relationship Id="rId52" Type="http://schemas.openxmlformats.org/officeDocument/2006/relationships/hyperlink" Target="consultantplus://offline/ref=11F3204D0371A6A92A10A7DEF1F1FBA0E69AEDD54142CFE74264ED6B1435EDE30F41628844725339FC226D3D1CA075BB6ED61764E653C712w6s4J" TargetMode="External"/><Relationship Id="rId60" Type="http://schemas.openxmlformats.org/officeDocument/2006/relationships/hyperlink" Target="consultantplus://offline/ref=11F3204D0371A6A92A10A7DEF1F1FBA0E69AEAD2474CCFE74264ED6B1435EDE30F4162884473533CFC226D3D1CA075BB6ED61764E653C712w6s4J" TargetMode="External"/><Relationship Id="rId4" Type="http://schemas.openxmlformats.org/officeDocument/2006/relationships/webSettings" Target="webSettings.xml"/><Relationship Id="rId9" Type="http://schemas.openxmlformats.org/officeDocument/2006/relationships/hyperlink" Target="consultantplus://offline/ref=11F3204D0371A6A92A10A7DEF1F1FBA0E59BECD44541CFE74264ED6B1435EDE30F41628844725238FB226D3D1CA075BB6ED61764E653C712w6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9326</Words>
  <Characters>53160</Characters>
  <Application>Microsoft Office Word</Application>
  <DocSecurity>0</DocSecurity>
  <Lines>443</Lines>
  <Paragraphs>124</Paragraphs>
  <ScaleCrop>false</ScaleCrop>
  <Company/>
  <LinksUpToDate>false</LinksUpToDate>
  <CharactersWithSpaces>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Кругленкова Ольга Владимировна</dc:creator>
  <cp:keywords/>
  <dc:description/>
  <cp:lastModifiedBy>Кругленкова Ольга Владимировна</cp:lastModifiedBy>
  <cp:revision>2</cp:revision>
  <dcterms:created xsi:type="dcterms:W3CDTF">2018-10-05T09:45:00Z</dcterms:created>
  <dcterms:modified xsi:type="dcterms:W3CDTF">2018-10-05T09:45:00Z</dcterms:modified>
</cp:coreProperties>
</file>